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9F2DFE" w:rsidRPr="002C4B03" w:rsidTr="009E6744">
        <w:trPr>
          <w:trHeight w:val="1833"/>
        </w:trPr>
        <w:tc>
          <w:tcPr>
            <w:tcW w:w="13036" w:type="dxa"/>
            <w:hideMark/>
          </w:tcPr>
          <w:p w:rsidR="009F2DFE" w:rsidRPr="00A55FD4" w:rsidRDefault="009F2DFE" w:rsidP="009E67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9F2DFE" w:rsidRPr="002C4B03" w:rsidRDefault="009F2DFE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ГОДИШЊИ ИЗВ</w:t>
            </w:r>
            <w:r w:rsidR="00803184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ШТАЈ О РАДУ </w:t>
            </w:r>
            <w:r w:rsidR="007E56F0" w:rsidRPr="00746B6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ПОКРАЈИНСКЕ </w:t>
            </w: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ШУ</w:t>
            </w:r>
            <w:r w:rsidR="00A55FD4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</w:t>
            </w:r>
            <w:r w:rsidR="009E6D6B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АРСКЕ И ЛОВНЕ ИНСПЕКЦИЈЕ ЗА 202</w:t>
            </w:r>
            <w:r w:rsidR="00B228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  <w:p w:rsidR="001B3E90" w:rsidRPr="002C4B03" w:rsidRDefault="001B3E90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0F28" w:rsidRPr="002C4B03" w:rsidRDefault="00475033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1)</w:t>
            </w:r>
            <w:r w:rsidR="006F6D72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="008E0F28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Превентивно деловање инспекције</w:t>
            </w:r>
          </w:p>
          <w:p w:rsidR="001B3E90" w:rsidRPr="002C4B03" w:rsidRDefault="001B3E9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F2A6E" w:rsidRPr="002C4B03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спречених или битно умањених вероватних настанака штетних последица по законом заштићена добра, права и интересе </w:t>
            </w:r>
            <w:r w:rsidR="008E0F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огледа се кроз превентивно деловање инспекције. </w:t>
            </w:r>
            <w:r w:rsidR="009709F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Покрајинска ш</w:t>
            </w:r>
            <w:r w:rsidR="009A4C5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8377D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марска</w:t>
            </w:r>
            <w:r w:rsidR="00FE6F5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28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ловна инспекција је током 2024</w:t>
            </w:r>
            <w:r w:rsidR="008377D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поступку вршења инспекцијских надзора, као и по захтевима надзираних субјеката редовно, благовремено и детаљно информисала надзиране субјекте везано за примену одредби закона из области шумарства и ловства и подзаконских аката и у случају ненадлежности упућивала надзиране субјекте на надлежне органе.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377D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Законом о инспекцијском надзору, а ради постизања циља инспекцијског надзора, у</w:t>
            </w:r>
            <w:r w:rsidR="008E0F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току 2</w:t>
            </w:r>
            <w:r w:rsidR="00B228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024</w:t>
            </w:r>
            <w:r w:rsidR="00A55FD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E0F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 шумарска и ловна инспекција извршила је </w:t>
            </w:r>
            <w:r w:rsidR="00B228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159</w:t>
            </w:r>
            <w:r w:rsidR="00C2452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E0F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службен</w:t>
            </w:r>
            <w:r w:rsidR="00222D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8E0F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саветодавн</w:t>
            </w:r>
            <w:r w:rsidR="00222D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8E0F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посет</w:t>
            </w:r>
            <w:r w:rsidR="00222D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FE6F5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донела укупно  </w:t>
            </w:r>
            <w:r w:rsidR="00B228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FD591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1305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E0F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решењ</w:t>
            </w:r>
            <w:r w:rsidR="00F91F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59094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допис</w:t>
            </w:r>
            <w:r w:rsidR="00353F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59094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</w:t>
            </w:r>
            <w:r w:rsidR="00DF2A6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препорука</w:t>
            </w:r>
            <w:r w:rsidR="0059094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="008E0F2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отклањање уочених неправилности</w:t>
            </w:r>
            <w:r w:rsidR="009709F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F2DFE" w:rsidRPr="002C4B03" w:rsidRDefault="00DF2A6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Оваквим радом шумарска и ловна инспекција је </w:t>
            </w:r>
            <w:r w:rsidR="001B3E90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деловала превентивно пружајући стручну и саветодавну подршку надзираним субјектима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уважавајући права </w:t>
            </w:r>
            <w:r w:rsidR="00353F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интересе надзираних субјеката.</w:t>
            </w:r>
          </w:p>
          <w:p w:rsidR="001B3E90" w:rsidRPr="002C4B03" w:rsidRDefault="001B3E9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2681"/>
        </w:trPr>
        <w:tc>
          <w:tcPr>
            <w:tcW w:w="13036" w:type="dxa"/>
            <w:hideMark/>
          </w:tcPr>
          <w:p w:rsidR="001B3E90" w:rsidRPr="002C4B03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-Обавештавањ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јавности, пружањ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</w:t>
            </w:r>
          </w:p>
          <w:p w:rsidR="00AA0972" w:rsidRPr="002C4B03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F2DFE" w:rsidRPr="002C4B03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Обавештавањ</w:t>
            </w:r>
            <w:r w:rsidRPr="00746B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јавности, пружањ</w:t>
            </w:r>
            <w:r w:rsidRPr="00746B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интересе, са подацима о броју и облицима ових активности и кругу лица обухваћених тим активностима (превентивно деловање инспекције), је реализован кроз стручне саветодавне посете којих је било </w:t>
            </w:r>
            <w:r w:rsidR="00C2452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</w:t>
            </w:r>
            <w:r w:rsidR="00C728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% од укупног броја контрола</w:t>
            </w:r>
            <w:r w:rsidR="009709F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(Прилог 1</w:t>
            </w:r>
            <w:r w:rsidR="009D7F2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.)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Облици ових активности манифестовали су се кроз превентивни инспекцијски надзор, сарадњом инспекције са другим органима и израдом одговарајућих инструкција о поступању у складу са прописима (инструкције су доступне на сајту Управе за шуме). </w:t>
            </w:r>
          </w:p>
          <w:p w:rsidR="00E94CD5" w:rsidRPr="00746B66" w:rsidRDefault="00E94CD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A0972" w:rsidRPr="002C4B03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709F2">
        <w:trPr>
          <w:trHeight w:val="132"/>
        </w:trPr>
        <w:tc>
          <w:tcPr>
            <w:tcW w:w="13036" w:type="dxa"/>
            <w:hideMark/>
          </w:tcPr>
          <w:p w:rsidR="00A61DED" w:rsidRPr="002C4B03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-Ниво усклађености пословања и поступања надзираних субјеката са законом и другим прописом, који се мери помоћу контролних листи</w:t>
            </w:r>
          </w:p>
          <w:p w:rsidR="00A61DED" w:rsidRPr="002C4B03" w:rsidRDefault="00A61DED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D7F2A" w:rsidRPr="002C4B03" w:rsidRDefault="00A61DED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Шумарска и ловна инспекција у складу са Законом о инспекцијском надзору контролне листе корис</w:t>
            </w:r>
            <w:r w:rsidR="00F973B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кад врши редовне надзоре</w:t>
            </w:r>
            <w:r w:rsidR="0043070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У 202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9E6D6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години  укупо су извршена 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238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редовна инспекцијска надзора</w:t>
            </w:r>
            <w:r w:rsidR="009A4C5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C4B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367</w:t>
            </w:r>
            <w:r w:rsidR="00C24527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96979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ванредних и</w:t>
            </w:r>
            <w:r w:rsidR="00B04D08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нспекцијских надзора, </w:t>
            </w:r>
            <w:r w:rsidR="009D7F2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(Прилог </w:t>
            </w:r>
            <w:r w:rsidR="009709F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33A0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.).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F69FC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Редовни инспекцијски надзори вршени су према контролним листама за одређене области надзора, које су</w:t>
            </w:r>
            <w:r w:rsidR="00FD591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објављене на сајту Покрајинског секретаријата за пољопривреду,водопривреду и шумарство</w:t>
            </w:r>
            <w:r w:rsidR="008F69FC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по потреби се ажурирају.</w:t>
            </w:r>
          </w:p>
          <w:p w:rsidR="00F973B5" w:rsidRPr="00377DAB" w:rsidRDefault="009D7F2A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Највећи број редовних контрола по Закону о шумама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5178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8F69FC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вршен је</w:t>
            </w:r>
            <w:r w:rsidR="0025178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контролним листама:</w:t>
            </w:r>
            <w:r w:rsidR="0037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2448F" w:rsidRPr="002C4B03" w:rsidRDefault="0062448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973B5" w:rsidRPr="002C4B03" w:rsidRDefault="00F973B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- Гајење шума КЛ-005-0</w:t>
            </w:r>
            <w:r w:rsidR="00C6558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/0</w:t>
            </w:r>
            <w:r w:rsidR="00C6558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</w:p>
          <w:p w:rsidR="00F973B5" w:rsidRPr="002C4B03" w:rsidRDefault="00F973B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Коришћење шума КЛ-006-0</w:t>
            </w:r>
            <w:r w:rsidR="00C6558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/0</w:t>
            </w:r>
            <w:r w:rsidR="00C6558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  <w:p w:rsidR="00F47912" w:rsidRPr="002C4B03" w:rsidRDefault="00377DA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Ванредни инспекцијски надзори су извршени на основу представки као и захтева за ванредни инспекцијски надзор у складу са Законом о инспекцијском надзору.</w:t>
            </w:r>
          </w:p>
          <w:p w:rsidR="009F2DFE" w:rsidRPr="002C4B03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960"/>
        </w:trPr>
        <w:tc>
          <w:tcPr>
            <w:tcW w:w="13036" w:type="dxa"/>
            <w:hideMark/>
          </w:tcPr>
          <w:p w:rsidR="00F47912" w:rsidRPr="002C4B03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4)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="00F47912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Корективно деловање инспекције</w:t>
            </w:r>
          </w:p>
          <w:p w:rsidR="00F47912" w:rsidRPr="002C4B03" w:rsidRDefault="00F4791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F2DFE" w:rsidRPr="002C4B03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откривених и отклоњених или битно умањених насталих штетних последица по законом заштићена добра, права и интересе, огледа се</w:t>
            </w:r>
            <w:r w:rsidR="00A55FD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кроз број донетих решења. У 2024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 шумарска и лов</w:t>
            </w:r>
            <w:r w:rsidR="006F678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инспекција донела је укупно 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решењ</w:t>
            </w:r>
            <w:r w:rsidR="009615CD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D591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отклањању недостатака, 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Закона о шумама </w:t>
            </w:r>
            <w:r w:rsidR="00FD591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811E3F" w:rsidRPr="002C4B03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Овакво поступање инспекције усмерено је у правцу спречавања или битног умањивања вероватног настанка штетних последица по законом заштићена природна добра, права и интересе.</w:t>
            </w:r>
          </w:p>
          <w:p w:rsidR="00811E3F" w:rsidRPr="002C4B03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645"/>
        </w:trPr>
        <w:tc>
          <w:tcPr>
            <w:tcW w:w="13036" w:type="dxa"/>
            <w:hideMark/>
          </w:tcPr>
          <w:p w:rsidR="00811E3F" w:rsidRPr="002C4B03" w:rsidRDefault="006F6D72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-Број утврђених нерегистрованих субјеката и мер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спроведен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према њима</w:t>
            </w:r>
          </w:p>
          <w:p w:rsidR="00811E3F" w:rsidRPr="002C4B03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F2DFE" w:rsidRPr="002C4B03" w:rsidRDefault="00DC4BE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2024</w:t>
            </w:r>
            <w:r w:rsidR="0057560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утврђен</w:t>
            </w:r>
            <w:r w:rsidR="00032C52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1</w:t>
            </w:r>
            <w:r w:rsidR="00AB7ED5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B7ED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нерегистровани </w:t>
            </w:r>
            <w:r w:rsidR="009709F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субјекат</w:t>
            </w:r>
            <w:r w:rsidR="00E8677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709F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коме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наложен упис у одговарајући ре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гистар.</w:t>
            </w:r>
            <w:r w:rsidR="00AB7ED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 се о нерегистрованом</w:t>
            </w:r>
            <w:r w:rsidR="006F6D7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D0FAB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стоваришту ѕа продају огревног дрвета</w:t>
            </w:r>
            <w:r w:rsidR="00AB7ED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који је  након наложених мера уписан </w:t>
            </w:r>
            <w:r w:rsidR="006F6D7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одговарјући р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6F6D7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гистар.</w:t>
            </w:r>
          </w:p>
          <w:p w:rsidR="00811E3F" w:rsidRPr="002C4B03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619"/>
        </w:trPr>
        <w:tc>
          <w:tcPr>
            <w:tcW w:w="13036" w:type="dxa"/>
            <w:hideMark/>
          </w:tcPr>
          <w:p w:rsidR="0071407B" w:rsidRPr="002C4B03" w:rsidRDefault="00CF5676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-Мер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ради уједначавања праксе инспекцијског надзора и њихово дејств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:rsidR="0071407B" w:rsidRPr="002C4B03" w:rsidRDefault="0071407B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77BB9" w:rsidRPr="002C4B03" w:rsidRDefault="008201B9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Законом о инспекцијском надзору, у циљу уједначавања рада шумарских и ловних инспектора у редовним инспекцијским надзорима коришћене су контролне листе, које</w:t>
            </w:r>
            <w:r w:rsidR="004573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 налазе на сајту Покрајинског секретаријата за пољопривреду,водопривреду и шумарство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доступне су свим субјектима за потребе самоконтроле.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Контролне листе се два пута годишње преиспитују на састанцима </w:t>
            </w:r>
            <w:r w:rsidR="009414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EF72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дељења шумарске и ловне инспекције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877BB9" w:rsidRPr="002C4B03" w:rsidRDefault="00B04D08" w:rsidP="003D7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Редовно 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 одржавају састанци </w:t>
            </w:r>
            <w:r w:rsidR="009414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EF72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дељења шумарске и ловне инспекције</w:t>
            </w:r>
            <w:r w:rsidR="00877BB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="00877BB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 се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уједначава рад инспектора на терену,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што даје зад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ољава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јуће резултате.</w:t>
            </w:r>
          </w:p>
          <w:p w:rsidR="003D773E" w:rsidRPr="002C4B03" w:rsidRDefault="003D773E" w:rsidP="003D7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699"/>
        </w:trPr>
        <w:tc>
          <w:tcPr>
            <w:tcW w:w="13036" w:type="dxa"/>
            <w:hideMark/>
          </w:tcPr>
          <w:p w:rsidR="00877BB9" w:rsidRPr="002C4B03" w:rsidRDefault="0069167A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-Остварењ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плана и ваљаности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</w:t>
            </w:r>
          </w:p>
          <w:p w:rsidR="00877BB9" w:rsidRPr="002C4B03" w:rsidRDefault="00877BB9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E0E6B" w:rsidRPr="002C4B03" w:rsidRDefault="002E0E6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 обавезом</w:t>
            </w:r>
            <w:r w:rsidR="00001A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прописаном у члану 10. Закона о инспекцијском надзору, сачињен је Годишњи план инспекцијског надзора шумарске и ловне инспекције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2024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годину, који је одобрен од стране Координационе комисије Владе РС. </w:t>
            </w:r>
          </w:p>
          <w:p w:rsidR="002E0E6B" w:rsidRPr="002C4B03" w:rsidRDefault="002E0E6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лан инспекцијског надзора </w:t>
            </w:r>
            <w:r w:rsidR="002276C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542A2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годину, 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врстама инспекцијског надзора</w:t>
            </w:r>
            <w:r w:rsidR="009414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приказан је у П</w:t>
            </w:r>
            <w:r w:rsidR="00877DE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рилогу 2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извршење по врстама инспек</w:t>
            </w:r>
            <w:r w:rsidR="009414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цијског надзора приказано је у П</w:t>
            </w:r>
            <w:r w:rsidR="00877DE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рилогу 1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575606" w:rsidRPr="002C4B03" w:rsidRDefault="009414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планир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 број надзора у 2024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био је 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752 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извршено је укупно 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770</w:t>
            </w:r>
            <w:r w:rsidR="00AB7ED5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</w:t>
            </w:r>
            <w:r w:rsidR="006824D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</w:t>
            </w:r>
            <w:r w:rsidR="003B468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824DE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3B468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односно </w:t>
            </w:r>
            <w:r w:rsidR="00DC4B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102</w:t>
            </w:r>
            <w:r w:rsidR="00032C52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.4</w:t>
            </w:r>
            <w:r w:rsidR="00AB7ED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9167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 од планираног.</w:t>
            </w:r>
            <w:r w:rsidR="004419A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  <w:p w:rsidR="006824DE" w:rsidRPr="00746B66" w:rsidRDefault="006824DE" w:rsidP="009E674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RS"/>
              </w:rPr>
            </w:pPr>
            <w:r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Законом о инспекцијском надзору</w:t>
            </w:r>
            <w:r w:rsidR="00912C8A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шумарска </w:t>
            </w:r>
            <w:r w:rsidR="00DC4B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ловна инспекција је током 2024</w:t>
            </w:r>
            <w:r w:rsidR="00F53915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D0FAB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 имала већи</w:t>
            </w:r>
            <w:r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</w:t>
            </w:r>
            <w:r w:rsidR="00912C8A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ванредног инспекцијског надз</w:t>
            </w:r>
            <w:r w:rsidR="001D0FAB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ора </w:t>
            </w:r>
            <w:r w:rsidR="00227A22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="001D0FAB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 је последица већег броја </w:t>
            </w:r>
            <w:r w:rsidR="00227A22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захтева надзираних субјеката као и представки упућених овој инспекцији.</w:t>
            </w:r>
          </w:p>
          <w:p w:rsidR="004419AB" w:rsidRPr="002C4B03" w:rsidRDefault="004419A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04615" w:rsidRPr="002C4B03" w:rsidRDefault="00D0461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841"/>
        </w:trPr>
        <w:tc>
          <w:tcPr>
            <w:tcW w:w="13036" w:type="dxa"/>
            <w:hideMark/>
          </w:tcPr>
          <w:p w:rsidR="004C6D34" w:rsidRPr="002C4B03" w:rsidRDefault="00606DA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8)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-Ниво координације инспекцијског надзора са инспекцијским надзором кога врше друге инспекције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4153D6" w:rsidRPr="002C4B03" w:rsidRDefault="004153D6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153D6" w:rsidRPr="002C4B03" w:rsidRDefault="00853DE9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Најчешћа сарадња шумарске и ловне инспекције 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2024</w:t>
            </w:r>
            <w:r w:rsidR="004153D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године, била је са Министарством унутрашњих послова и чуварима шума </w:t>
            </w:r>
            <w:r w:rsidR="001848DD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Јавних предузећа, </w:t>
            </w:r>
            <w:r w:rsidR="004153D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код контрола </w:t>
            </w:r>
            <w:r w:rsidR="001848DD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сецишта и </w:t>
            </w:r>
            <w:r w:rsidR="004153D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промета дрвета</w:t>
            </w:r>
            <w:r w:rsidR="00F71554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као и ветеринаском инспекцијом због појаве Афричке куге свиња</w:t>
            </w:r>
            <w:r w:rsidR="00AB7ED5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,као и птичијег грипа</w:t>
            </w:r>
            <w:r w:rsidR="00F71554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поводом чега су се одржавале редовне акције као и састанци са корисницима ловишта.</w:t>
            </w:r>
            <w:r w:rsidR="004153D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EF72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Поред ове сарадње вршен</w:t>
            </w:r>
            <w:r w:rsidR="001848DD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је </w:t>
            </w:r>
            <w:r w:rsidR="00EF72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заједничк</w:t>
            </w:r>
            <w:r w:rsidR="001848DD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EF72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акциј</w:t>
            </w:r>
            <w:r w:rsidR="001848DD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EF72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контроле промета дрвета </w:t>
            </w:r>
            <w:r w:rsidR="0074193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EF727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</w:t>
            </w:r>
            <w:r w:rsidR="0074193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Акционим планом за спровођење националног програма за сузбијање си</w:t>
            </w:r>
            <w:r w:rsidR="00227A2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 економије</w:t>
            </w:r>
            <w:r w:rsidR="00227A22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74193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F2DFE" w:rsidRPr="002C4B03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C09BC" w:rsidRPr="002C4B03" w:rsidTr="009E6744">
        <w:trPr>
          <w:trHeight w:val="1406"/>
        </w:trPr>
        <w:tc>
          <w:tcPr>
            <w:tcW w:w="13036" w:type="dxa"/>
            <w:hideMark/>
          </w:tcPr>
          <w:p w:rsidR="004153D6" w:rsidRPr="002C4B03" w:rsidRDefault="00606DA0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мера.</w:t>
            </w:r>
          </w:p>
          <w:p w:rsidR="000F4F38" w:rsidRPr="002C4B03" w:rsidRDefault="000F4F3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F2703" w:rsidRPr="00746B66" w:rsidRDefault="00EC09BC" w:rsidP="009E67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За </w:t>
            </w:r>
            <w:r w:rsidR="006A6002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реализацију годишњег плана инспекцијског надзора шумарским и ловним инспект</w:t>
            </w:r>
            <w:r w:rsidR="009414FE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</w:t>
            </w:r>
            <w:r w:rsidR="006A6002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рима обезбеђена су службена возила</w:t>
            </w:r>
            <w:r w:rsidR="000F4F38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потребна количина горива за обављање инспекцијског надзора. </w:t>
            </w:r>
            <w:r w:rsidR="00F71554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Техничка опремњеност инспектора није на задовољавајућем нивоу али се приступило обнови старих рачунара</w:t>
            </w:r>
            <w:r w:rsidR="00F71554" w:rsidRPr="0074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F71554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набавци потребне опреме</w:t>
            </w:r>
          </w:p>
          <w:p w:rsidR="00FC166E" w:rsidRPr="00746B66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Одељењу шумарске и ловне инспекције </w:t>
            </w:r>
            <w:r w:rsidR="00606DA0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систе</w:t>
            </w:r>
            <w:r w:rsidR="00342F1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матизацији предвиђен</w:t>
            </w:r>
            <w:r w:rsidR="00192B5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342F1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92B5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="00342F1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32C5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342F1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</w:t>
            </w:r>
            <w:r w:rsidR="00606DA0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192B5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606DA0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места</w:t>
            </w:r>
            <w:r w:rsidR="00032C52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57377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(начелник инспекције и 5</w:t>
            </w:r>
            <w:r w:rsidR="00AD2FC6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шумарско-ловних инспектора)</w:t>
            </w:r>
            <w:r w:rsidR="00606DA0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2024</w:t>
            </w:r>
            <w:r w:rsidR="00032C5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године</w:t>
            </w:r>
            <w:r w:rsidR="00DC4B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није било пријеме нових инспектора</w:t>
            </w:r>
            <w:r w:rsidR="00DC4BE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E391C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систематизацији тренутно су попуњена сва радна места.</w:t>
            </w:r>
          </w:p>
          <w:p w:rsidR="001C5F66" w:rsidRPr="00746B66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5332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Систематизовани број инспектора је недовољан обзиром на укупну површину на којој се врши надзор и број субјеката</w:t>
            </w:r>
            <w:r w:rsidR="00522EE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односно објеката</w:t>
            </w:r>
            <w:r w:rsidR="00F7155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надзора</w:t>
            </w:r>
            <w:r w:rsidR="00F71554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Имајући у виду да је на територији АПВ некада</w:t>
            </w:r>
            <w:r w:rsidR="001C52B7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било запослено 16 инспектора, а приликом преноса надлежности  2010 године 11 инспектора</w:t>
            </w:r>
            <w:r w:rsidR="00AD2FC6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1C52B7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неопходно је повећати број истих.</w:t>
            </w:r>
          </w:p>
          <w:p w:rsidR="004419AB" w:rsidRPr="002C4B03" w:rsidRDefault="004419A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419"/>
        </w:trPr>
        <w:tc>
          <w:tcPr>
            <w:tcW w:w="13036" w:type="dxa"/>
            <w:hideMark/>
          </w:tcPr>
          <w:p w:rsidR="004419AB" w:rsidRPr="002C4B03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-Придржавање рокова прописаних за поступање инспекције</w:t>
            </w:r>
          </w:p>
          <w:p w:rsidR="004419AB" w:rsidRPr="002C4B03" w:rsidRDefault="004419AB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F2DFE" w:rsidRPr="002C4B03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Инспекција се придржавала прописаних рокова.</w:t>
            </w:r>
          </w:p>
          <w:p w:rsidR="00A77E18" w:rsidRPr="002C4B03" w:rsidRDefault="00A77E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960"/>
        </w:trPr>
        <w:tc>
          <w:tcPr>
            <w:tcW w:w="13036" w:type="dxa"/>
            <w:hideMark/>
          </w:tcPr>
          <w:p w:rsidR="005C7518" w:rsidRPr="002C4B03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-Законитости управних аката донетих у инспекцијском надзору (број другостепених поступака, њихов исход, број покренутих управних спорова и њихов исход)</w:t>
            </w:r>
          </w:p>
          <w:p w:rsidR="00CE4F6F" w:rsidRPr="002C4B03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F2DFE" w:rsidRPr="002C4B03" w:rsidRDefault="009F2DFE" w:rsidP="009E67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  <w:r w:rsidR="00B84343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 2024</w:t>
            </w:r>
            <w:r w:rsidR="0062448F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. </w:t>
            </w:r>
            <w:r w:rsidR="00B84343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години био је  1</w:t>
            </w:r>
            <w:r w:rsidR="00542A21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342F1E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B84343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другостепени</w:t>
            </w:r>
            <w:r w:rsidR="00542A21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поступак</w:t>
            </w:r>
            <w:r w:rsidR="00B84343" w:rsidRPr="002C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који је у току</w:t>
            </w:r>
          </w:p>
          <w:p w:rsidR="00CE4F6F" w:rsidRPr="002C4B03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960"/>
        </w:trPr>
        <w:tc>
          <w:tcPr>
            <w:tcW w:w="13036" w:type="dxa"/>
            <w:hideMark/>
          </w:tcPr>
          <w:p w:rsidR="005C7518" w:rsidRPr="002C4B03" w:rsidRDefault="00FB4BD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-Поступањ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5C7518" w:rsidRPr="002C4B03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F2DFE" w:rsidRPr="002C4B03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84343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2024</w:t>
            </w:r>
            <w:r w:rsidR="008B708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8B7086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 w:rsidR="008B708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8B7086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било </w:t>
            </w:r>
            <w:r w:rsidR="00542A2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притужбе</w:t>
            </w:r>
            <w:r w:rsidR="008B708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рад инспектора, које се односе 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поступање инспектора. </w:t>
            </w:r>
          </w:p>
          <w:p w:rsidR="005C7518" w:rsidRPr="002C4B03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1133"/>
        </w:trPr>
        <w:tc>
          <w:tcPr>
            <w:tcW w:w="13036" w:type="dxa"/>
            <w:hideMark/>
          </w:tcPr>
          <w:p w:rsidR="005C7518" w:rsidRPr="002C4B03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13)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="005C7518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Програми стручног усавршаваања</w:t>
            </w:r>
          </w:p>
          <w:p w:rsidR="005C7518" w:rsidRPr="002C4B03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4007" w:rsidRPr="00746B66" w:rsidRDefault="00B84343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2024</w:t>
            </w:r>
            <w:r w:rsidR="008B708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години одржаване су обуке инспектора по различитим основама </w:t>
            </w:r>
            <w:r w:rsidR="00227A22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у складу са надлежностима шумарско-ловне инспекције.</w:t>
            </w:r>
          </w:p>
          <w:p w:rsidR="005C7518" w:rsidRPr="002C4B03" w:rsidRDefault="005C7518" w:rsidP="00B3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699"/>
        </w:trPr>
        <w:tc>
          <w:tcPr>
            <w:tcW w:w="13036" w:type="dxa"/>
            <w:hideMark/>
          </w:tcPr>
          <w:p w:rsidR="005C7518" w:rsidRPr="002C4B03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-Иницијатив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за измене и допуне закона и других прописа</w:t>
            </w:r>
          </w:p>
          <w:p w:rsidR="00CE4F6F" w:rsidRPr="002C4B03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F2DFE" w:rsidRPr="00746B66" w:rsidRDefault="00CE4F6F" w:rsidP="00AD2FC6">
            <w:pPr>
              <w:pStyle w:val="Heading1"/>
              <w:shd w:val="clear" w:color="auto" w:fill="FFFFFF"/>
              <w:jc w:val="center"/>
              <w:textAlignment w:val="baseline"/>
              <w:outlineLvl w:val="0"/>
              <w:rPr>
                <w:rFonts w:ascii="Helvetica" w:eastAsia="Times New Roman" w:hAnsi="Helvetica" w:cs="Helvetica"/>
                <w:b/>
                <w:bCs/>
                <w:color w:val="auto"/>
                <w:kern w:val="36"/>
                <w:sz w:val="48"/>
                <w:szCs w:val="48"/>
                <w:lang w:val="sr-Latn-RS" w:eastAsia="sr-Latn-RS"/>
              </w:rPr>
            </w:pPr>
            <w:r w:rsidRPr="002C4B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Покренута је </w:t>
            </w:r>
            <w:r w:rsidR="00673042" w:rsidRPr="002C4B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A0089" w:rsidRPr="002C4B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иницијатива за И</w:t>
            </w:r>
            <w:r w:rsidRPr="002C4B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змене и д</w:t>
            </w:r>
            <w:r w:rsidR="000E51AF" w:rsidRPr="002C4B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опуне</w:t>
            </w:r>
            <w:r w:rsidR="00AD2FC6" w:rsidRPr="00746B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A0089" w:rsidRPr="002C4B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закона о дивљачи и ловству као и инцијатива за израду Закона о  стављању у промет дрвета и дрвних производа за унутрашње тржиште</w:t>
            </w:r>
          </w:p>
          <w:p w:rsidR="005C7518" w:rsidRPr="002C4B03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645"/>
        </w:trPr>
        <w:tc>
          <w:tcPr>
            <w:tcW w:w="13036" w:type="dxa"/>
            <w:hideMark/>
          </w:tcPr>
          <w:p w:rsidR="005C7518" w:rsidRPr="002C4B03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-Мер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провер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предузете у циљу потпуности и ажурности података у информационом систему</w:t>
            </w:r>
          </w:p>
          <w:p w:rsidR="005C7518" w:rsidRPr="002C4B03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F2DFE" w:rsidRPr="002C4B03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Информациони систем још није </w:t>
            </w:r>
            <w:r w:rsidR="00B3400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потпуности у употреби. </w:t>
            </w:r>
            <w:r w:rsidR="00CE4F6F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Шумарска и ловна инспекција</w:t>
            </w:r>
            <w:r w:rsidR="00B3400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још увек</w:t>
            </w:r>
            <w:r w:rsidR="00342F1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B708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 ексел</w:t>
            </w:r>
            <w:r w:rsidR="00673042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табеле за редовно месечно, квартално и годишње извештавање.</w:t>
            </w:r>
          </w:p>
          <w:p w:rsidR="005C7518" w:rsidRPr="002C4B03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2C4B03" w:rsidTr="009E6744">
        <w:trPr>
          <w:trHeight w:val="431"/>
        </w:trPr>
        <w:tc>
          <w:tcPr>
            <w:tcW w:w="13036" w:type="dxa"/>
            <w:noWrap/>
            <w:hideMark/>
          </w:tcPr>
          <w:p w:rsidR="005C7518" w:rsidRPr="002C4B03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16)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-Стањ</w:t>
            </w:r>
            <w:r w:rsidR="009F2DFE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F2DFE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области извршавања поверених послова инспекцијског надзора</w:t>
            </w:r>
          </w:p>
          <w:p w:rsidR="005C7518" w:rsidRPr="002C4B03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F2DFE" w:rsidRPr="002C4B03" w:rsidRDefault="00A77E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 шумарске</w:t>
            </w:r>
            <w:r w:rsidR="00542A2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ловне испекције поверени су А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утономној покрајини</w:t>
            </w:r>
            <w:r w:rsidR="00542A21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Војводина,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као поверени послови државне управе. </w:t>
            </w:r>
            <w:r w:rsidR="005D0D20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="00542A2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умарска и ловна инспекција у А</w:t>
            </w:r>
            <w:r w:rsidR="0084105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утономној покрајини</w:t>
            </w:r>
            <w:r w:rsidR="008B7086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Војводине</w:t>
            </w:r>
            <w:r w:rsidR="0084105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у саставу По</w:t>
            </w:r>
            <w:r w:rsidR="00582A1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крајинског секретаријата за пољ</w:t>
            </w:r>
            <w:r w:rsidR="0084105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опривреду, водопривреду и шумарство. </w:t>
            </w:r>
            <w:r w:rsidR="00EC09BC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Сарадња са републичком шумар</w:t>
            </w:r>
            <w:r w:rsidR="001C52B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ском и ловном инспекцијом</w:t>
            </w:r>
            <w:r w:rsidR="005C7518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области извршавања поверен</w:t>
            </w:r>
            <w:r w:rsidR="00EC09BC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их послова 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="0060443F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задовољавајуће</w:t>
            </w:r>
            <w:r w:rsidR="009F2DF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5C7518" w:rsidRPr="002C4B03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43F" w:rsidRPr="002C4B03" w:rsidTr="009E6744">
        <w:trPr>
          <w:trHeight w:val="431"/>
        </w:trPr>
        <w:tc>
          <w:tcPr>
            <w:tcW w:w="13036" w:type="dxa"/>
            <w:noWrap/>
          </w:tcPr>
          <w:p w:rsidR="005C7518" w:rsidRPr="002C4B03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17)-Исходи поступања правосудних органа</w:t>
            </w:r>
          </w:p>
          <w:p w:rsidR="00A26AD3" w:rsidRPr="002C4B03" w:rsidRDefault="00A26AD3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7305E" w:rsidRPr="00746B66" w:rsidRDefault="00B84343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2024</w:t>
            </w:r>
            <w:r w:rsidR="00A26AD3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години укупно је п</w:t>
            </w:r>
            <w:r w:rsidR="008F11F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однето  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="002A7AA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B7086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B708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0A710F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ахтева за покретањ</w:t>
            </w:r>
            <w:r w:rsidR="00A26AD3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прекршајног поступка</w:t>
            </w:r>
            <w:r w:rsidR="008F11FB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,од чега је решено</w:t>
            </w:r>
            <w:r w:rsidR="00AE391C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F11FB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(кажњено</w:t>
            </w:r>
            <w:r w:rsidR="008929D5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="008F11FB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2E7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</w:t>
            </w:r>
            <w:r w:rsidR="00AE391C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 је обустављена , </w:t>
            </w:r>
            <w:r w:rsidR="00C7305E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 су остали у поступку</w:t>
            </w:r>
            <w:r w:rsidR="005D0D20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8F11FB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Заплењено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410</w:t>
            </w:r>
            <w:r w:rsidR="00AE391C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просторних </w:t>
            </w:r>
            <w:r w:rsidR="002A7AA7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метара</w:t>
            </w:r>
            <w:r w:rsidR="00877DEE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дрвета.</w:t>
            </w:r>
          </w:p>
          <w:p w:rsidR="00A26AD3" w:rsidRPr="00746B66" w:rsidRDefault="00614A16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7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Поднете су 2 пријаве за привредни преступ </w:t>
            </w:r>
            <w:r w:rsidR="004C22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као и 3 </w:t>
            </w:r>
            <w:r w:rsidR="004A447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кривичн</w:t>
            </w:r>
            <w:r w:rsidR="004C22FA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  пријаве</w:t>
            </w:r>
            <w:r w:rsidR="00AE391C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 још у поступку.</w:t>
            </w:r>
          </w:p>
          <w:p w:rsidR="00673042" w:rsidRPr="002C4B03" w:rsidRDefault="00673042" w:rsidP="00A81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2DFE" w:rsidRPr="009F17EC" w:rsidTr="009E6744">
        <w:trPr>
          <w:trHeight w:val="960"/>
        </w:trPr>
        <w:tc>
          <w:tcPr>
            <w:tcW w:w="13036" w:type="dxa"/>
            <w:noWrap/>
            <w:hideMark/>
          </w:tcPr>
          <w:p w:rsidR="00A26AD3" w:rsidRPr="002C4B03" w:rsidRDefault="00673042" w:rsidP="009E674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Показатељи</w:t>
            </w:r>
            <w:r w:rsidR="008F364C"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делотворности инспекцијског надзора.</w:t>
            </w:r>
          </w:p>
          <w:p w:rsidR="00A81283" w:rsidRPr="002C4B03" w:rsidRDefault="00A81283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F364C" w:rsidRPr="00746B66" w:rsidRDefault="008F364C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D0174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Шумарска и ловна инспекција је</w:t>
            </w:r>
            <w:r w:rsidR="00AD017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очавајући у којим сегментима је било потребно</w:t>
            </w:r>
            <w:r w:rsidR="00813A75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превентивно реаговати вршила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службено саветодавне посете које су садржале и дописе са препорукама, повећане су и превентивне активности са циљем заштите јавног интереса и ефикасним управљањем ризицима у складу са реалним могућностима шумарске и  ловне инспекције.</w:t>
            </w:r>
            <w:r w:rsidR="00AD0174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Као резултат превентивног рада ове инспекције надзирани субјекти се све чешће обраћају овој инспекцији у циљу упознавања са законском регулативом </w:t>
            </w:r>
            <w:r w:rsidR="00C7305E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што резултира мањем кр</w:t>
            </w:r>
            <w:r w:rsidR="00813A75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шењу прописа и законском поступању</w:t>
            </w:r>
            <w:r w:rsidR="00C7305E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8608E4" w:rsidRPr="002C4B03" w:rsidRDefault="008608E4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608E4" w:rsidRPr="002C4B03" w:rsidRDefault="008608E4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Преглед постављених радних циљева шумарских и ловних инспектора:</w:t>
            </w:r>
          </w:p>
          <w:p w:rsidR="00A26AD3" w:rsidRPr="002C4B03" w:rsidRDefault="00A26AD3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608E4" w:rsidRPr="002C4B03" w:rsidRDefault="008608E4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Према </w:t>
            </w:r>
            <w:r w:rsidR="00B84343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редоследу значаја за 2024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годину одређени су следећи радни</w:t>
            </w:r>
            <w:r w:rsidR="0062549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циљеви сходно Уредби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оцењивању државних службеник</w:t>
            </w:r>
            <w:r w:rsidR="0062549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:</w:t>
            </w:r>
          </w:p>
          <w:p w:rsidR="00624CC4" w:rsidRPr="002C4B03" w:rsidRDefault="008608E4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Примарни радни циљ био је </w:t>
            </w:r>
            <w:r w:rsidR="009A19F3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контрола 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спровођењ</w:t>
            </w:r>
            <w:r w:rsidR="009A19F3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позитивних законских прописа из Закона о шумама</w:t>
            </w:r>
            <w:r w:rsidR="00790F90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1E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375</w:t>
            </w:r>
            <w:r w:rsidR="00B843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24CC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надзор</w:t>
            </w:r>
            <w:r w:rsidR="00625499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24CC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="0062549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Закона о дивљачи и ловству</w:t>
            </w:r>
            <w:r w:rsidR="008F11F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1E7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261</w:t>
            </w:r>
            <w:r w:rsidR="0062549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надзора </w:t>
            </w:r>
            <w:r w:rsidR="00625499" w:rsidRPr="00746B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Закона о репродуктивном материјалу шумског дрвећа</w:t>
            </w:r>
            <w:r w:rsidR="00624CC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1E7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  <w:r w:rsidR="004C6590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25499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надзора, 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Закона о здрављу биља</w:t>
            </w:r>
            <w:r w:rsidR="00624CC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1E76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="002A7AA7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24CC4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надзора и редовно извештавање.</w:t>
            </w:r>
          </w:p>
          <w:p w:rsidR="008608E4" w:rsidRPr="002C4B03" w:rsidRDefault="008608E4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утврђ</w:t>
            </w:r>
            <w:r w:rsidR="00582A1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ених радних циљева урађен је и Г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одишњи план рада шу</w:t>
            </w:r>
            <w:r w:rsidR="008F11FB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62448F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арске и ловне</w:t>
            </w:r>
            <w:r w:rsidR="00B84343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инспекције за 2024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годину, а извршење рад</w:t>
            </w:r>
            <w:r w:rsidR="00582A11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них циљева јасно је видљиво из И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звештаја о раду </w:t>
            </w:r>
            <w:r w:rsidR="00790F90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покрајинск</w:t>
            </w:r>
            <w:r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шумарске и лов</w:t>
            </w:r>
            <w:r w:rsidR="0062448F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84343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инспекције за 2024</w:t>
            </w:r>
            <w:r w:rsidR="00C7305E" w:rsidRPr="002C4B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годину </w:t>
            </w:r>
          </w:p>
          <w:p w:rsidR="009F2DFE" w:rsidRPr="00746B66" w:rsidRDefault="009F2DFE" w:rsidP="009E67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                              </w:t>
            </w:r>
            <w:r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Начелник шумарске и ловне инспекције</w:t>
            </w:r>
            <w:r w:rsidR="00327AF9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2A11" w:rsidRPr="00060EE5" w:rsidRDefault="007E56F0" w:rsidP="00327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6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</w:t>
            </w:r>
            <w:r w:rsidR="00060EE5" w:rsidRPr="00746B66">
              <w:rPr>
                <w:rFonts w:ascii="Times New Roman" w:hAnsi="Times New Roman" w:cs="Times New Roman"/>
                <w:b/>
                <w:sz w:val="24"/>
                <w:szCs w:val="24"/>
              </w:rPr>
              <w:t>Милена Граховац</w:t>
            </w:r>
          </w:p>
          <w:p w:rsidR="00A427D2" w:rsidRDefault="00A427D2" w:rsidP="009E67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DFE" w:rsidRPr="00A427D2" w:rsidRDefault="00A427D2" w:rsidP="00A427D2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A427D2" w:rsidRPr="00A427D2" w:rsidRDefault="00A427D2" w:rsidP="00A427D2">
      <w:pPr>
        <w:rPr>
          <w:rFonts w:ascii="Times New Roman" w:hAnsi="Times New Roman" w:cs="Times New Roman"/>
        </w:rPr>
      </w:pPr>
    </w:p>
    <w:p w:rsidR="00F67918" w:rsidRDefault="00F67918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</w:p>
    <w:p w:rsidR="00F67918" w:rsidRDefault="00F67918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</w:p>
    <w:p w:rsidR="00F67918" w:rsidRDefault="00F67918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</w:p>
    <w:p w:rsidR="00454B43" w:rsidRDefault="009709F2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  <w:r>
        <w:rPr>
          <w:rFonts w:ascii="Times New Roman" w:eastAsia="Times New Roman" w:hAnsi="Times New Roman" w:cs="Times New Roman"/>
          <w:bCs/>
          <w:szCs w:val="21"/>
          <w:lang w:val="sr-Cyrl-CS"/>
        </w:rPr>
        <w:lastRenderedPageBreak/>
        <w:t xml:space="preserve">Прилог 1 </w:t>
      </w:r>
      <w:r w:rsidR="00454B43" w:rsidRPr="009F17EC">
        <w:rPr>
          <w:rFonts w:ascii="Times New Roman" w:eastAsia="Times New Roman" w:hAnsi="Times New Roman" w:cs="Times New Roman"/>
          <w:bCs/>
          <w:szCs w:val="21"/>
          <w:lang w:val="sr-Cyrl-CS"/>
        </w:rPr>
        <w:t>Извршење</w:t>
      </w:r>
      <w:r w:rsidR="00454B43" w:rsidRPr="00454B43">
        <w:rPr>
          <w:rFonts w:ascii="Times New Roman" w:eastAsia="Times New Roman" w:hAnsi="Times New Roman" w:cs="Times New Roman"/>
          <w:bCs/>
          <w:szCs w:val="21"/>
          <w:lang w:val="sr-Cyrl-CS"/>
        </w:rPr>
        <w:t xml:space="preserve"> према врсти надзора</w:t>
      </w:r>
      <w:r w:rsidR="00B84343">
        <w:rPr>
          <w:rFonts w:ascii="Times New Roman" w:eastAsia="Times New Roman" w:hAnsi="Times New Roman" w:cs="Times New Roman"/>
          <w:bCs/>
          <w:szCs w:val="21"/>
          <w:lang w:val="sr-Cyrl-CS"/>
        </w:rPr>
        <w:t xml:space="preserve"> у 2024</w:t>
      </w:r>
      <w:r w:rsidR="000C5CFE">
        <w:rPr>
          <w:rFonts w:ascii="Times New Roman" w:eastAsia="Times New Roman" w:hAnsi="Times New Roman" w:cs="Times New Roman"/>
          <w:bCs/>
          <w:szCs w:val="21"/>
          <w:lang w:val="sr-Cyrl-CS"/>
        </w:rPr>
        <w:t xml:space="preserve"> години</w:t>
      </w:r>
    </w:p>
    <w:p w:rsidR="00BD65E1" w:rsidRDefault="00BD65E1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</w:p>
    <w:p w:rsidR="00BD65E1" w:rsidRPr="00454B43" w:rsidRDefault="00BD65E1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Latn-C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471"/>
        <w:gridCol w:w="1076"/>
        <w:gridCol w:w="1508"/>
        <w:gridCol w:w="1721"/>
        <w:gridCol w:w="2343"/>
        <w:gridCol w:w="2020"/>
        <w:gridCol w:w="1828"/>
      </w:tblGrid>
      <w:tr w:rsidR="00454B43" w:rsidRPr="00454B43" w:rsidTr="00964F4C">
        <w:trPr>
          <w:trHeight w:val="2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РБ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ОПИС ПОСЛА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Укупно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РЕДОВАН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ВАНРЕДАН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C5CFE" w:rsidRDefault="000C5CFE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КОНТРОЛНИ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0C5CFE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5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ПРЕВЕНТВНИ- СЛУЖ.ПОСЕТЕ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ДОПУНСКИ</w:t>
            </w:r>
          </w:p>
        </w:tc>
      </w:tr>
      <w:tr w:rsidR="00D20B1D" w:rsidRPr="00454B43" w:rsidTr="000D25BB">
        <w:trPr>
          <w:trHeight w:val="315"/>
        </w:trPr>
        <w:tc>
          <w:tcPr>
            <w:tcW w:w="1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А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ШУМАМА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986A4A" w:rsidRDefault="00210EEE" w:rsidP="00851E8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EA63CF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210EEE">
              <w:rPr>
                <w:rFonts w:ascii="Arial" w:hAnsi="Arial" w:cs="Arial"/>
                <w:sz w:val="20"/>
                <w:szCs w:val="20"/>
                <w:lang w:val="sr-Cyrl-RS"/>
              </w:rPr>
              <w:t>135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EA63CF" w:rsidRDefault="00EA63CF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210EE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136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6C0C50" w:rsidRDefault="000E7547" w:rsidP="006C0C5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EA63CF" w:rsidRDefault="00EA63CF" w:rsidP="000E75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2629B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9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EA63CF" w:rsidRDefault="00623397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D20B1D" w:rsidRPr="00454B43" w:rsidTr="00FB5454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РЕПРОДУКТИВНОМ МАТЕРИЈ. ШУМ. ДРВЕЋА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03A97" w:rsidRDefault="00210EEE" w:rsidP="008B708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73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637C4D" w:rsidRDefault="000E7547" w:rsidP="00637C4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</w:t>
            </w:r>
            <w:r w:rsidR="00EA63C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210EEE" w:rsidP="000E75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62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851E8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EA63CF" w:rsidP="00EA63C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</w:t>
            </w:r>
            <w:r w:rsidR="002629B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2629B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D20B1D" w:rsidRPr="00454B43" w:rsidTr="00894C9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ЗДРАВЉУ БИЉА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03A97" w:rsidRDefault="00210EEE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32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E62A3" w:rsidRDefault="00623397" w:rsidP="00EA6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EA63CF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210EE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E62A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 w:rsidR="00D20B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EA63CF" w:rsidP="00EA63C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D20B1D" w:rsidRPr="00454B43" w:rsidTr="008B06E2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ДИВЉАЧИ И ЛОВСТВУ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03A97" w:rsidRDefault="008B7086" w:rsidP="00C03A9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986A4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210EEE">
              <w:rPr>
                <w:rFonts w:ascii="Arial" w:hAnsi="Arial" w:cs="Arial"/>
                <w:sz w:val="20"/>
                <w:szCs w:val="20"/>
                <w:lang w:val="sr-Cyrl-RS"/>
              </w:rPr>
              <w:t>297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6C0C50" w:rsidRDefault="000E7547" w:rsidP="006C0C5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210EE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210EEE" w:rsidP="00EA63C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141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2629B5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A26A9E" w:rsidRPr="00454B43" w:rsidTr="009F1EED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ДРУГИ ПРОПИСИ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851E88" w:rsidRDefault="00A26A9E" w:rsidP="00A2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637C4D" w:rsidRDefault="006C0C50" w:rsidP="00637C4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4263" w:rsidRDefault="00194263" w:rsidP="00A26A9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/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4263" w:rsidRDefault="00A26A9E" w:rsidP="00A26A9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4263" w:rsidRDefault="00194263" w:rsidP="00A26A9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CE62A3" w:rsidRDefault="00194263" w:rsidP="00A2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 w:rsidR="00A26A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6A9E" w:rsidRPr="00454B43" w:rsidTr="00F65F3A">
        <w:trPr>
          <w:trHeight w:val="30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С В Е Г 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C03A97" w:rsidRDefault="00210EEE" w:rsidP="00986A4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770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C03A97" w:rsidRDefault="000E7547" w:rsidP="00C03A9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210EEE">
              <w:rPr>
                <w:rFonts w:ascii="Arial" w:hAnsi="Arial" w:cs="Arial"/>
                <w:sz w:val="20"/>
                <w:szCs w:val="20"/>
                <w:lang w:val="sr-Cyrl-RS"/>
              </w:rPr>
              <w:t>238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6C0C50" w:rsidRDefault="000E7547" w:rsidP="006C0C5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2629B5">
              <w:rPr>
                <w:rFonts w:ascii="Arial" w:hAnsi="Arial" w:cs="Arial"/>
                <w:sz w:val="20"/>
                <w:szCs w:val="20"/>
                <w:lang w:val="sr-Cyrl-RS"/>
              </w:rPr>
              <w:t>367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41078F" w:rsidRDefault="00F546F5" w:rsidP="001844E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6C0C50" w:rsidRDefault="00194263" w:rsidP="006C0C5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</w:t>
            </w:r>
            <w:r w:rsidR="000E754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2629B5">
              <w:rPr>
                <w:rFonts w:ascii="Arial" w:hAnsi="Arial" w:cs="Arial"/>
                <w:sz w:val="20"/>
                <w:szCs w:val="20"/>
                <w:lang w:val="sr-Cyrl-RS"/>
              </w:rPr>
              <w:t>159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BD781D" w:rsidRDefault="00F546F5" w:rsidP="00A26A9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A26A9E" w:rsidRPr="00454B43" w:rsidTr="00B15B06">
        <w:trPr>
          <w:trHeight w:val="3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BC3298" w:rsidRDefault="00A26A9E" w:rsidP="00BC329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ПРОЦЕНТИМА</w:t>
            </w:r>
            <w:r w:rsidR="00BC3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- </w:t>
            </w: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986A4A" w:rsidRDefault="00986A4A" w:rsidP="00986A4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100%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0094" w:rsidRDefault="00AF3D73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31</w:t>
            </w:r>
            <w:r w:rsidR="002629B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0094" w:rsidRDefault="002629B5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AF3D7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46</w:t>
            </w:r>
            <w:r w:rsidR="00F546F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4B5F51" w:rsidRDefault="00BD7B8C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0,5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0094" w:rsidRDefault="00AF3D73" w:rsidP="00851E8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  <w:r w:rsidR="00F546F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0094" w:rsidRDefault="00F546F5" w:rsidP="00DF3B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0,</w:t>
            </w:r>
            <w:r w:rsidR="00BD7B8C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</w:tr>
    </w:tbl>
    <w:p w:rsidR="00B45864" w:rsidRPr="00A26A9E" w:rsidRDefault="00B45864" w:rsidP="00B45864">
      <w:pPr>
        <w:tabs>
          <w:tab w:val="left" w:pos="13380"/>
        </w:tabs>
        <w:jc w:val="center"/>
        <w:rPr>
          <w:rFonts w:ascii="Times New Roman" w:hAnsi="Times New Roman" w:cs="Times New Roman"/>
        </w:rPr>
      </w:pPr>
    </w:p>
    <w:p w:rsidR="00110C47" w:rsidRPr="009F17EC" w:rsidRDefault="00110C47" w:rsidP="00B45864">
      <w:pPr>
        <w:tabs>
          <w:tab w:val="left" w:pos="13380"/>
        </w:tabs>
        <w:jc w:val="center"/>
        <w:rPr>
          <w:rFonts w:ascii="Times New Roman" w:hAnsi="Times New Roman" w:cs="Times New Roman"/>
        </w:rPr>
      </w:pPr>
    </w:p>
    <w:p w:rsidR="00110C47" w:rsidRPr="009F17EC" w:rsidRDefault="00877DEE" w:rsidP="000C5CFE">
      <w:pPr>
        <w:autoSpaceDE w:val="0"/>
        <w:spacing w:before="120" w:after="120"/>
        <w:jc w:val="both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  <w:lang w:val="sr-Cyrl-CS"/>
        </w:rPr>
        <w:t>Прилог 2</w:t>
      </w:r>
      <w:r w:rsidR="000B3C97" w:rsidRPr="009F17EC">
        <w:rPr>
          <w:rFonts w:ascii="Times New Roman" w:hAnsi="Times New Roman" w:cs="Times New Roman"/>
          <w:bCs/>
          <w:szCs w:val="21"/>
          <w:lang w:val="sr-Cyrl-CS"/>
        </w:rPr>
        <w:t>.</w:t>
      </w:r>
      <w:r w:rsidR="00110C47" w:rsidRPr="009F17EC">
        <w:rPr>
          <w:rFonts w:ascii="Times New Roman" w:hAnsi="Times New Roman" w:cs="Times New Roman"/>
          <w:bCs/>
          <w:szCs w:val="21"/>
          <w:lang w:val="sr-Cyrl-CS"/>
        </w:rPr>
        <w:t xml:space="preserve"> План према врсти надзора</w:t>
      </w:r>
      <w:r w:rsidR="00210EEE">
        <w:rPr>
          <w:rFonts w:ascii="Times New Roman" w:hAnsi="Times New Roman" w:cs="Times New Roman"/>
          <w:bCs/>
          <w:szCs w:val="21"/>
          <w:lang w:val="sr-Cyrl-CS"/>
        </w:rPr>
        <w:t xml:space="preserve"> у 2024</w:t>
      </w:r>
      <w:r w:rsidR="000C5CFE">
        <w:rPr>
          <w:rFonts w:ascii="Times New Roman" w:hAnsi="Times New Roman" w:cs="Times New Roman"/>
          <w:bCs/>
          <w:szCs w:val="21"/>
          <w:lang w:val="sr-Cyrl-CS"/>
        </w:rPr>
        <w:t xml:space="preserve"> години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472"/>
        <w:gridCol w:w="1077"/>
        <w:gridCol w:w="1509"/>
        <w:gridCol w:w="1722"/>
        <w:gridCol w:w="2344"/>
        <w:gridCol w:w="2021"/>
        <w:gridCol w:w="1828"/>
      </w:tblGrid>
      <w:tr w:rsidR="00110C47" w:rsidRPr="009F17EC" w:rsidTr="00964F4C">
        <w:trPr>
          <w:trHeight w:val="2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 ПОСЛА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РЕДОВАН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ВАНРЕДАН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BC3298" w:rsidRDefault="00BC3298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КОНТРОЛНИ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BC3298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C3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ПРЕВЕНТВНИ- СЛУЖ.ПОСЕТЕ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ДОПУНСКИ</w:t>
            </w:r>
          </w:p>
        </w:tc>
      </w:tr>
      <w:tr w:rsidR="009A3539" w:rsidRPr="009F17EC" w:rsidTr="00DE4E72">
        <w:trPr>
          <w:trHeight w:val="315"/>
        </w:trPr>
        <w:tc>
          <w:tcPr>
            <w:tcW w:w="1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9F17EC" w:rsidRDefault="009A3539" w:rsidP="009A3539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3539" w:rsidRPr="009F17EC" w:rsidRDefault="009A3539" w:rsidP="009A3539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ШУМАМА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C5ED5" w:rsidRDefault="00210EEE" w:rsidP="004C5ED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375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4DA2" w:rsidRPr="00EE4DA2" w:rsidRDefault="00EE4DA2" w:rsidP="00EE4DA2"/>
          <w:p w:rsidR="009A3539" w:rsidRPr="0046456C" w:rsidRDefault="006C3BC8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  <w:r w:rsidR="00AF3D73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6456C" w:rsidRDefault="00AF3D73" w:rsidP="009A353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6456C" w:rsidRDefault="0046456C" w:rsidP="000E75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11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6456C" w:rsidRDefault="00DC1231" w:rsidP="009A353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6456C" w:rsidRDefault="00DC1231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F549D5" w:rsidRPr="009F17EC" w:rsidTr="004B2C14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РЕПРОДУКТИВНОМ МАТЕРИЈ. ШУМ. ДРВЕЋА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0094" w:rsidRDefault="004C5ED5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78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46456C">
              <w:rPr>
                <w:rFonts w:ascii="Arial" w:hAnsi="Arial" w:cs="Arial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F549D5" w:rsidRPr="009F17EC" w:rsidTr="00567692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ЗДРАВЉУ БИЉА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0094" w:rsidRDefault="004C5ED5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37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46456C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647727" w:rsidRDefault="000E7547" w:rsidP="006477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DC1231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F549D5" w:rsidRPr="009F17EC" w:rsidTr="00780A12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ДИВЉАЧИ И ЛОВСТВУ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0094" w:rsidRDefault="00194263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C5ED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210EEE">
              <w:rPr>
                <w:rFonts w:ascii="Arial" w:hAnsi="Arial" w:cs="Arial"/>
                <w:sz w:val="20"/>
                <w:szCs w:val="20"/>
                <w:lang w:val="sr-Cyrl-RS"/>
              </w:rPr>
              <w:t>261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6C3BC8">
              <w:rPr>
                <w:rFonts w:ascii="Arial" w:hAnsi="Arial" w:cs="Arial"/>
                <w:sz w:val="20"/>
                <w:szCs w:val="20"/>
                <w:lang w:val="sr-Cyrl-RS"/>
              </w:rPr>
              <w:t>178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6C3BC8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6C3BC8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B304E9" w:rsidRDefault="0046456C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</w:tr>
      <w:tr w:rsidR="00F549D5" w:rsidRPr="009F17EC" w:rsidTr="00A74845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 ПРОПИСИ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861CD7" w:rsidRDefault="00DC1231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4C5ED5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F549D5" w:rsidRPr="009F17EC" w:rsidTr="0054036F">
        <w:trPr>
          <w:trHeight w:val="30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В Е Г 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210EEE" w:rsidP="0019426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752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6C3BC8">
              <w:rPr>
                <w:rFonts w:ascii="Arial" w:hAnsi="Arial" w:cs="Arial"/>
                <w:sz w:val="20"/>
                <w:szCs w:val="20"/>
                <w:lang w:val="sr-Cyrl-RS"/>
              </w:rPr>
              <w:t>449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6C3BC8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C03A97" w:rsidRDefault="006C3BC8" w:rsidP="000E75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25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68618B" w:rsidRDefault="0068618B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</w:tr>
      <w:tr w:rsidR="00F549D5" w:rsidRPr="009F17EC" w:rsidTr="00C10EF6">
        <w:trPr>
          <w:trHeight w:val="3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ПРОЦЕНТИМА</w:t>
            </w:r>
            <w:r w:rsidR="00BC3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19426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100%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647727" w:rsidRDefault="0068618B" w:rsidP="0019426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59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C03A97" w:rsidRDefault="000E7547" w:rsidP="00C03A9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68618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6C3BC8"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  <w:r w:rsidR="0068618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6C3BC8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68618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68618B" w:rsidP="0019426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21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1%</w:t>
            </w:r>
          </w:p>
        </w:tc>
      </w:tr>
    </w:tbl>
    <w:p w:rsidR="00110C47" w:rsidRPr="009F17EC" w:rsidRDefault="00110C47" w:rsidP="0068618B">
      <w:pPr>
        <w:tabs>
          <w:tab w:val="left" w:pos="13380"/>
        </w:tabs>
        <w:rPr>
          <w:rFonts w:ascii="Times New Roman" w:hAnsi="Times New Roman" w:cs="Times New Roman"/>
        </w:rPr>
      </w:pPr>
    </w:p>
    <w:sectPr w:rsidR="00110C47" w:rsidRPr="009F17EC" w:rsidSect="00C64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1F" w:rsidRDefault="00FC3C1F" w:rsidP="00B45864">
      <w:pPr>
        <w:spacing w:after="0" w:line="240" w:lineRule="auto"/>
      </w:pPr>
      <w:r>
        <w:separator/>
      </w:r>
    </w:p>
  </w:endnote>
  <w:endnote w:type="continuationSeparator" w:id="0">
    <w:p w:rsidR="00FC3C1F" w:rsidRDefault="00FC3C1F" w:rsidP="00B4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1F" w:rsidRDefault="00FC3C1F" w:rsidP="00B45864">
      <w:pPr>
        <w:spacing w:after="0" w:line="240" w:lineRule="auto"/>
      </w:pPr>
      <w:r>
        <w:separator/>
      </w:r>
    </w:p>
  </w:footnote>
  <w:footnote w:type="continuationSeparator" w:id="0">
    <w:p w:rsidR="00FC3C1F" w:rsidRDefault="00FC3C1F" w:rsidP="00B4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12385"/>
    <w:multiLevelType w:val="hybridMultilevel"/>
    <w:tmpl w:val="81A87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7"/>
    <w:rsid w:val="00001A18"/>
    <w:rsid w:val="00015E4F"/>
    <w:rsid w:val="00032C52"/>
    <w:rsid w:val="0004178B"/>
    <w:rsid w:val="00043EE0"/>
    <w:rsid w:val="00050093"/>
    <w:rsid w:val="00060EE5"/>
    <w:rsid w:val="00062DA3"/>
    <w:rsid w:val="00067E68"/>
    <w:rsid w:val="0007503B"/>
    <w:rsid w:val="00080A42"/>
    <w:rsid w:val="00082D7D"/>
    <w:rsid w:val="000A2642"/>
    <w:rsid w:val="000A710F"/>
    <w:rsid w:val="000B3C97"/>
    <w:rsid w:val="000C5CFE"/>
    <w:rsid w:val="000D0947"/>
    <w:rsid w:val="000E02FB"/>
    <w:rsid w:val="000E0E3B"/>
    <w:rsid w:val="000E51AF"/>
    <w:rsid w:val="000E7547"/>
    <w:rsid w:val="000F4F38"/>
    <w:rsid w:val="00110C47"/>
    <w:rsid w:val="00137E66"/>
    <w:rsid w:val="00140A3F"/>
    <w:rsid w:val="0014556F"/>
    <w:rsid w:val="001462CD"/>
    <w:rsid w:val="00162787"/>
    <w:rsid w:val="0016593A"/>
    <w:rsid w:val="00174A7C"/>
    <w:rsid w:val="00175444"/>
    <w:rsid w:val="00180359"/>
    <w:rsid w:val="001844E0"/>
    <w:rsid w:val="001848DD"/>
    <w:rsid w:val="00190094"/>
    <w:rsid w:val="00192B5E"/>
    <w:rsid w:val="00194263"/>
    <w:rsid w:val="001A3F05"/>
    <w:rsid w:val="001B3E90"/>
    <w:rsid w:val="001C4634"/>
    <w:rsid w:val="001C52B7"/>
    <w:rsid w:val="001C5F66"/>
    <w:rsid w:val="001D0FAB"/>
    <w:rsid w:val="00203F30"/>
    <w:rsid w:val="00206AE1"/>
    <w:rsid w:val="00210EEE"/>
    <w:rsid w:val="00222D28"/>
    <w:rsid w:val="002276C9"/>
    <w:rsid w:val="00227A22"/>
    <w:rsid w:val="00251787"/>
    <w:rsid w:val="002629B5"/>
    <w:rsid w:val="00271BBA"/>
    <w:rsid w:val="00296CB5"/>
    <w:rsid w:val="002A7AA7"/>
    <w:rsid w:val="002C4B03"/>
    <w:rsid w:val="002C6BEF"/>
    <w:rsid w:val="002E0E6B"/>
    <w:rsid w:val="002E743A"/>
    <w:rsid w:val="00322A8A"/>
    <w:rsid w:val="00327AF9"/>
    <w:rsid w:val="00342F1E"/>
    <w:rsid w:val="00344CCE"/>
    <w:rsid w:val="0035332A"/>
    <w:rsid w:val="00353F77"/>
    <w:rsid w:val="0036493E"/>
    <w:rsid w:val="00377BAE"/>
    <w:rsid w:val="00377DAB"/>
    <w:rsid w:val="00380554"/>
    <w:rsid w:val="003B4686"/>
    <w:rsid w:val="003B779B"/>
    <w:rsid w:val="003C5B17"/>
    <w:rsid w:val="003D193C"/>
    <w:rsid w:val="003D773E"/>
    <w:rsid w:val="003E1371"/>
    <w:rsid w:val="0041078F"/>
    <w:rsid w:val="004153D6"/>
    <w:rsid w:val="00426728"/>
    <w:rsid w:val="00430709"/>
    <w:rsid w:val="004419AB"/>
    <w:rsid w:val="00443D44"/>
    <w:rsid w:val="00454B43"/>
    <w:rsid w:val="00455700"/>
    <w:rsid w:val="00457377"/>
    <w:rsid w:val="0046456C"/>
    <w:rsid w:val="00475033"/>
    <w:rsid w:val="00483991"/>
    <w:rsid w:val="004856D7"/>
    <w:rsid w:val="00487A71"/>
    <w:rsid w:val="00490B2E"/>
    <w:rsid w:val="00493897"/>
    <w:rsid w:val="004959D8"/>
    <w:rsid w:val="00496979"/>
    <w:rsid w:val="004A447E"/>
    <w:rsid w:val="004B1141"/>
    <w:rsid w:val="004B5F51"/>
    <w:rsid w:val="004C22FA"/>
    <w:rsid w:val="004C5ED5"/>
    <w:rsid w:val="004C6590"/>
    <w:rsid w:val="004C6D34"/>
    <w:rsid w:val="004F2990"/>
    <w:rsid w:val="004F2BD4"/>
    <w:rsid w:val="00504642"/>
    <w:rsid w:val="00522EE5"/>
    <w:rsid w:val="00542A21"/>
    <w:rsid w:val="00546070"/>
    <w:rsid w:val="00575606"/>
    <w:rsid w:val="00581E67"/>
    <w:rsid w:val="00582A11"/>
    <w:rsid w:val="005843A6"/>
    <w:rsid w:val="00590949"/>
    <w:rsid w:val="005A2F5E"/>
    <w:rsid w:val="005A6CE0"/>
    <w:rsid w:val="005B1767"/>
    <w:rsid w:val="005B2512"/>
    <w:rsid w:val="005C7518"/>
    <w:rsid w:val="005D0D20"/>
    <w:rsid w:val="005E1E5E"/>
    <w:rsid w:val="0060443F"/>
    <w:rsid w:val="00606DA0"/>
    <w:rsid w:val="00614A16"/>
    <w:rsid w:val="006152E7"/>
    <w:rsid w:val="00623397"/>
    <w:rsid w:val="0062448F"/>
    <w:rsid w:val="00624CC4"/>
    <w:rsid w:val="00625499"/>
    <w:rsid w:val="00637C4D"/>
    <w:rsid w:val="00647727"/>
    <w:rsid w:val="006524CD"/>
    <w:rsid w:val="00670E0D"/>
    <w:rsid w:val="00673042"/>
    <w:rsid w:val="006824DE"/>
    <w:rsid w:val="0068618B"/>
    <w:rsid w:val="0069167A"/>
    <w:rsid w:val="006A2494"/>
    <w:rsid w:val="006A6002"/>
    <w:rsid w:val="006C0C50"/>
    <w:rsid w:val="006C3BC8"/>
    <w:rsid w:val="006C4E19"/>
    <w:rsid w:val="006E31ED"/>
    <w:rsid w:val="006F6784"/>
    <w:rsid w:val="006F6D72"/>
    <w:rsid w:val="0071407B"/>
    <w:rsid w:val="00721A3A"/>
    <w:rsid w:val="00721C5A"/>
    <w:rsid w:val="00724DBB"/>
    <w:rsid w:val="007412AC"/>
    <w:rsid w:val="00741939"/>
    <w:rsid w:val="00746B66"/>
    <w:rsid w:val="00753AB9"/>
    <w:rsid w:val="00764220"/>
    <w:rsid w:val="00783EA9"/>
    <w:rsid w:val="00790F90"/>
    <w:rsid w:val="00793EE0"/>
    <w:rsid w:val="007A1B91"/>
    <w:rsid w:val="007B151E"/>
    <w:rsid w:val="007E207C"/>
    <w:rsid w:val="007E56F0"/>
    <w:rsid w:val="00803184"/>
    <w:rsid w:val="00811E3F"/>
    <w:rsid w:val="008124EF"/>
    <w:rsid w:val="00813A75"/>
    <w:rsid w:val="008201B9"/>
    <w:rsid w:val="00823006"/>
    <w:rsid w:val="00833313"/>
    <w:rsid w:val="008377D1"/>
    <w:rsid w:val="00841055"/>
    <w:rsid w:val="00851E88"/>
    <w:rsid w:val="00853DE9"/>
    <w:rsid w:val="008608E4"/>
    <w:rsid w:val="00861CD7"/>
    <w:rsid w:val="00872A39"/>
    <w:rsid w:val="0087351A"/>
    <w:rsid w:val="00877BB9"/>
    <w:rsid w:val="00877DEE"/>
    <w:rsid w:val="00885E06"/>
    <w:rsid w:val="008929D5"/>
    <w:rsid w:val="008B7086"/>
    <w:rsid w:val="008D6C18"/>
    <w:rsid w:val="008E0F28"/>
    <w:rsid w:val="008F11FB"/>
    <w:rsid w:val="008F364C"/>
    <w:rsid w:val="008F69FC"/>
    <w:rsid w:val="00903C32"/>
    <w:rsid w:val="00905928"/>
    <w:rsid w:val="00912C8A"/>
    <w:rsid w:val="009170AC"/>
    <w:rsid w:val="009266D4"/>
    <w:rsid w:val="0093757E"/>
    <w:rsid w:val="009375E3"/>
    <w:rsid w:val="009414FE"/>
    <w:rsid w:val="00942256"/>
    <w:rsid w:val="00943447"/>
    <w:rsid w:val="009544FA"/>
    <w:rsid w:val="009615CD"/>
    <w:rsid w:val="009709F2"/>
    <w:rsid w:val="00972917"/>
    <w:rsid w:val="00974A5E"/>
    <w:rsid w:val="00982FC3"/>
    <w:rsid w:val="0098473B"/>
    <w:rsid w:val="00986A4A"/>
    <w:rsid w:val="009939BA"/>
    <w:rsid w:val="009972C0"/>
    <w:rsid w:val="00997A7C"/>
    <w:rsid w:val="009A19F3"/>
    <w:rsid w:val="009A3539"/>
    <w:rsid w:val="009A4C52"/>
    <w:rsid w:val="009A7692"/>
    <w:rsid w:val="009C22FF"/>
    <w:rsid w:val="009C5E8B"/>
    <w:rsid w:val="009D7F2A"/>
    <w:rsid w:val="009E6744"/>
    <w:rsid w:val="009E6D6B"/>
    <w:rsid w:val="009F17EC"/>
    <w:rsid w:val="009F2DFE"/>
    <w:rsid w:val="009F41F9"/>
    <w:rsid w:val="00A204E2"/>
    <w:rsid w:val="00A2211A"/>
    <w:rsid w:val="00A238C0"/>
    <w:rsid w:val="00A24BD8"/>
    <w:rsid w:val="00A26A9E"/>
    <w:rsid w:val="00A26AD3"/>
    <w:rsid w:val="00A27C98"/>
    <w:rsid w:val="00A33A09"/>
    <w:rsid w:val="00A37022"/>
    <w:rsid w:val="00A427D2"/>
    <w:rsid w:val="00A54CEA"/>
    <w:rsid w:val="00A55FD4"/>
    <w:rsid w:val="00A61DED"/>
    <w:rsid w:val="00A77E18"/>
    <w:rsid w:val="00A81283"/>
    <w:rsid w:val="00A87E3B"/>
    <w:rsid w:val="00A92386"/>
    <w:rsid w:val="00AA0972"/>
    <w:rsid w:val="00AB7ED5"/>
    <w:rsid w:val="00AC5A2F"/>
    <w:rsid w:val="00AD0174"/>
    <w:rsid w:val="00AD2FC6"/>
    <w:rsid w:val="00AE391C"/>
    <w:rsid w:val="00AF3D73"/>
    <w:rsid w:val="00B04D08"/>
    <w:rsid w:val="00B123AA"/>
    <w:rsid w:val="00B20428"/>
    <w:rsid w:val="00B228FE"/>
    <w:rsid w:val="00B304E9"/>
    <w:rsid w:val="00B34007"/>
    <w:rsid w:val="00B45864"/>
    <w:rsid w:val="00B574E9"/>
    <w:rsid w:val="00B57DEF"/>
    <w:rsid w:val="00B60DBC"/>
    <w:rsid w:val="00B77A12"/>
    <w:rsid w:val="00B84343"/>
    <w:rsid w:val="00BC3298"/>
    <w:rsid w:val="00BD65E1"/>
    <w:rsid w:val="00BD781D"/>
    <w:rsid w:val="00BD7B8C"/>
    <w:rsid w:val="00BE226A"/>
    <w:rsid w:val="00C03A97"/>
    <w:rsid w:val="00C13059"/>
    <w:rsid w:val="00C17F0B"/>
    <w:rsid w:val="00C24527"/>
    <w:rsid w:val="00C35182"/>
    <w:rsid w:val="00C51C8E"/>
    <w:rsid w:val="00C642D1"/>
    <w:rsid w:val="00C6558E"/>
    <w:rsid w:val="00C7286F"/>
    <w:rsid w:val="00C7305E"/>
    <w:rsid w:val="00C91DBF"/>
    <w:rsid w:val="00CA3E31"/>
    <w:rsid w:val="00CA58D5"/>
    <w:rsid w:val="00CA6A61"/>
    <w:rsid w:val="00CC04DC"/>
    <w:rsid w:val="00CD00BA"/>
    <w:rsid w:val="00CD1E76"/>
    <w:rsid w:val="00CE4E09"/>
    <w:rsid w:val="00CE4F6F"/>
    <w:rsid w:val="00CE62A3"/>
    <w:rsid w:val="00CF0C46"/>
    <w:rsid w:val="00CF5676"/>
    <w:rsid w:val="00CF5ABB"/>
    <w:rsid w:val="00D04021"/>
    <w:rsid w:val="00D04615"/>
    <w:rsid w:val="00D20B1D"/>
    <w:rsid w:val="00D36C9D"/>
    <w:rsid w:val="00D75C22"/>
    <w:rsid w:val="00D8335B"/>
    <w:rsid w:val="00DA62A0"/>
    <w:rsid w:val="00DA77CE"/>
    <w:rsid w:val="00DC1231"/>
    <w:rsid w:val="00DC21CC"/>
    <w:rsid w:val="00DC4BEB"/>
    <w:rsid w:val="00DD034C"/>
    <w:rsid w:val="00DD2A8E"/>
    <w:rsid w:val="00DE0AF0"/>
    <w:rsid w:val="00DE230C"/>
    <w:rsid w:val="00DE27D3"/>
    <w:rsid w:val="00DF109D"/>
    <w:rsid w:val="00DF195D"/>
    <w:rsid w:val="00DF2A6E"/>
    <w:rsid w:val="00DF35B5"/>
    <w:rsid w:val="00DF3B10"/>
    <w:rsid w:val="00E1084F"/>
    <w:rsid w:val="00E255C5"/>
    <w:rsid w:val="00E30ED7"/>
    <w:rsid w:val="00E332B4"/>
    <w:rsid w:val="00E47092"/>
    <w:rsid w:val="00E5057B"/>
    <w:rsid w:val="00E560E5"/>
    <w:rsid w:val="00E86778"/>
    <w:rsid w:val="00E9463A"/>
    <w:rsid w:val="00E94CD5"/>
    <w:rsid w:val="00EA0089"/>
    <w:rsid w:val="00EA63CF"/>
    <w:rsid w:val="00EB6E97"/>
    <w:rsid w:val="00EC09BC"/>
    <w:rsid w:val="00EC6954"/>
    <w:rsid w:val="00EE4DA2"/>
    <w:rsid w:val="00EE55A1"/>
    <w:rsid w:val="00EF2703"/>
    <w:rsid w:val="00EF7277"/>
    <w:rsid w:val="00F05CAF"/>
    <w:rsid w:val="00F07403"/>
    <w:rsid w:val="00F14774"/>
    <w:rsid w:val="00F16B66"/>
    <w:rsid w:val="00F46C42"/>
    <w:rsid w:val="00F47912"/>
    <w:rsid w:val="00F53915"/>
    <w:rsid w:val="00F546F5"/>
    <w:rsid w:val="00F54957"/>
    <w:rsid w:val="00F549D5"/>
    <w:rsid w:val="00F67918"/>
    <w:rsid w:val="00F71554"/>
    <w:rsid w:val="00F7613B"/>
    <w:rsid w:val="00F82089"/>
    <w:rsid w:val="00F84CCF"/>
    <w:rsid w:val="00F91FFE"/>
    <w:rsid w:val="00F96BAE"/>
    <w:rsid w:val="00F973B5"/>
    <w:rsid w:val="00FB4BD8"/>
    <w:rsid w:val="00FB68DA"/>
    <w:rsid w:val="00FC166E"/>
    <w:rsid w:val="00FC3C1F"/>
    <w:rsid w:val="00FD1942"/>
    <w:rsid w:val="00FD591A"/>
    <w:rsid w:val="00FE66B9"/>
    <w:rsid w:val="00FE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54301-2071-4297-B2BC-9C18CB77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D5"/>
  </w:style>
  <w:style w:type="paragraph" w:styleId="Heading1">
    <w:name w:val="heading 1"/>
    <w:basedOn w:val="Normal"/>
    <w:next w:val="Normal"/>
    <w:link w:val="Heading1Char"/>
    <w:uiPriority w:val="9"/>
    <w:qFormat/>
    <w:rsid w:val="00AD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64"/>
  </w:style>
  <w:style w:type="paragraph" w:styleId="Footer">
    <w:name w:val="footer"/>
    <w:basedOn w:val="Normal"/>
    <w:link w:val="FooterChar"/>
    <w:uiPriority w:val="99"/>
    <w:unhideWhenUsed/>
    <w:rsid w:val="00B4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64"/>
  </w:style>
  <w:style w:type="character" w:customStyle="1" w:styleId="Heading1Char">
    <w:name w:val="Heading 1 Char"/>
    <w:basedOn w:val="DefaultParagraphFont"/>
    <w:link w:val="Heading1"/>
    <w:uiPriority w:val="9"/>
    <w:rsid w:val="00AD2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986D-9D44-4D25-BA2D-3728C0E7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</dc:creator>
  <cp:keywords/>
  <dc:description/>
  <cp:lastModifiedBy>BOBAN MILOSAVLJEVIC</cp:lastModifiedBy>
  <cp:revision>2</cp:revision>
  <cp:lastPrinted>2022-02-24T07:24:00Z</cp:lastPrinted>
  <dcterms:created xsi:type="dcterms:W3CDTF">2025-03-31T10:00:00Z</dcterms:created>
  <dcterms:modified xsi:type="dcterms:W3CDTF">2025-03-31T10:00:00Z</dcterms:modified>
</cp:coreProperties>
</file>