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A" w:rsidRPr="00136A37" w:rsidRDefault="0040487A" w:rsidP="000828A3">
      <w:pPr>
        <w:spacing w:after="717"/>
        <w:ind w:left="110" w:right="3"/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noProof/>
          <w:sz w:val="20"/>
          <w:szCs w:val="20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3BE21" wp14:editId="5FC1F27F">
                <wp:simplePos x="0" y="0"/>
                <wp:positionH relativeFrom="column">
                  <wp:posOffset>3529330</wp:posOffset>
                </wp:positionH>
                <wp:positionV relativeFrom="paragraph">
                  <wp:posOffset>320897</wp:posOffset>
                </wp:positionV>
                <wp:extent cx="77470" cy="9144"/>
                <wp:effectExtent l="0" t="0" r="0" b="0"/>
                <wp:wrapNone/>
                <wp:docPr id="9943" name="Group 9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" cy="9144"/>
                          <a:chOff x="0" y="0"/>
                          <a:chExt cx="77470" cy="9144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>
                                <a:moveTo>
                                  <a:pt x="0" y="0"/>
                                </a:moveTo>
                                <a:lnTo>
                                  <a:pt x="7747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B0BA1F" id="Group 9943" o:spid="_x0000_s1026" style="position:absolute;margin-left:277.9pt;margin-top:25.25pt;width:6.1pt;height:.7pt;z-index:251659264" coordsize="7747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">
                <v:shape id="Shape 40" o:spid="_x0000_s1027" style="position:absolute;width:77470;height:0;visibility:visible;mso-wrap-style:square;v-text-anchor:top" coordsize="77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" path="m,l77470,e" filled="f" strokeweight=".72pt">
                  <v:stroke joinstyle="bevel"/>
                  <v:path arrowok="t" textboxrect="0,0,77470,0"/>
                </v:shape>
              </v:group>
            </w:pict>
          </mc:Fallback>
        </mc:AlternateConten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чл</w:t>
      </w:r>
      <w:proofErr w:type="spellEnd"/>
      <w:r w:rsidRPr="00136A37">
        <w:rPr>
          <w:rFonts w:ascii="Verdana" w:hAnsi="Verdana"/>
          <w:sz w:val="20"/>
          <w:szCs w:val="20"/>
        </w:rPr>
        <w:t xml:space="preserve">. 16, 24. </w:t>
      </w:r>
      <w:proofErr w:type="gramStart"/>
      <w:r w:rsidRPr="00136A37">
        <w:rPr>
          <w:rFonts w:ascii="Verdana" w:hAnsi="Verdana"/>
          <w:sz w:val="20"/>
          <w:szCs w:val="20"/>
        </w:rPr>
        <w:t>и</w:t>
      </w:r>
      <w:proofErr w:type="gramEnd"/>
      <w:r w:rsidRPr="00136A37">
        <w:rPr>
          <w:rFonts w:ascii="Verdana" w:hAnsi="Verdana"/>
          <w:sz w:val="20"/>
          <w:szCs w:val="20"/>
        </w:rPr>
        <w:t xml:space="preserve"> 33. </w:t>
      </w:r>
      <w:proofErr w:type="spellStart"/>
      <w:r w:rsidRPr="00136A37">
        <w:rPr>
          <w:rFonts w:ascii="Verdana" w:hAnsi="Verdana"/>
          <w:sz w:val="20"/>
          <w:szCs w:val="20"/>
        </w:rPr>
        <w:t>Покрајинске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скупштинске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покрајинској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управи</w:t>
      </w:r>
      <w:proofErr w:type="spellEnd"/>
      <w:r w:rsidRPr="00136A37">
        <w:rPr>
          <w:rFonts w:ascii="Verdana" w:hAnsi="Verdana"/>
          <w:sz w:val="20"/>
          <w:szCs w:val="20"/>
        </w:rPr>
        <w:t xml:space="preserve"> („</w:t>
      </w:r>
      <w:proofErr w:type="spellStart"/>
      <w:r w:rsidRPr="00136A37">
        <w:rPr>
          <w:rFonts w:ascii="Verdana" w:hAnsi="Verdana"/>
          <w:sz w:val="20"/>
          <w:szCs w:val="20"/>
        </w:rPr>
        <w:t>Службени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лист</w:t>
      </w:r>
      <w:proofErr w:type="spellEnd"/>
      <w:r w:rsidRPr="00136A37">
        <w:rPr>
          <w:rFonts w:ascii="Verdana" w:hAnsi="Verdana"/>
          <w:sz w:val="20"/>
          <w:szCs w:val="20"/>
        </w:rPr>
        <w:t xml:space="preserve"> АПВ”, </w:t>
      </w:r>
      <w:proofErr w:type="spellStart"/>
      <w:r w:rsidRPr="00136A37">
        <w:rPr>
          <w:rFonts w:ascii="Verdana" w:hAnsi="Verdana"/>
          <w:sz w:val="20"/>
          <w:szCs w:val="20"/>
        </w:rPr>
        <w:t>бр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  <w:r w:rsidR="00741386">
        <w:rPr>
          <w:rFonts w:ascii="Verdana" w:hAnsi="Verdana"/>
          <w:sz w:val="20"/>
          <w:szCs w:val="20"/>
        </w:rPr>
        <w:t xml:space="preserve"> 37/14, 54/14 – </w:t>
      </w:r>
      <w:proofErr w:type="spellStart"/>
      <w:r w:rsidR="00741386">
        <w:rPr>
          <w:rFonts w:ascii="Verdana" w:hAnsi="Verdana"/>
          <w:sz w:val="20"/>
          <w:szCs w:val="20"/>
        </w:rPr>
        <w:t>др.одлука</w:t>
      </w:r>
      <w:proofErr w:type="spellEnd"/>
      <w:r w:rsidR="00741386">
        <w:rPr>
          <w:rFonts w:ascii="Verdana" w:hAnsi="Verdana"/>
          <w:sz w:val="20"/>
          <w:szCs w:val="20"/>
        </w:rPr>
        <w:t xml:space="preserve">, 37/15, </w:t>
      </w:r>
      <w:r w:rsidRPr="00136A37">
        <w:rPr>
          <w:rFonts w:ascii="Verdana" w:hAnsi="Verdana"/>
          <w:sz w:val="20"/>
          <w:szCs w:val="20"/>
        </w:rPr>
        <w:t xml:space="preserve"> 29/17</w:t>
      </w:r>
      <w:r w:rsidR="00741386">
        <w:rPr>
          <w:rFonts w:ascii="Verdana" w:hAnsi="Verdana"/>
          <w:sz w:val="20"/>
          <w:szCs w:val="20"/>
          <w:lang w:val="sr-Cyrl-RS"/>
        </w:rPr>
        <w:t>, 24/19, 66/20 и 38/21</w:t>
      </w:r>
      <w:r w:rsidRPr="00136A37">
        <w:rPr>
          <w:rFonts w:ascii="Verdana" w:hAnsi="Verdana"/>
          <w:sz w:val="20"/>
          <w:szCs w:val="20"/>
        </w:rPr>
        <w:t xml:space="preserve">), </w:t>
      </w:r>
      <w:proofErr w:type="spellStart"/>
      <w:r w:rsidRPr="00136A37">
        <w:rPr>
          <w:rFonts w:ascii="Verdana" w:hAnsi="Verdana"/>
          <w:sz w:val="20"/>
          <w:szCs w:val="20"/>
        </w:rPr>
        <w:t>чл</w:t>
      </w:r>
      <w:proofErr w:type="spellEnd"/>
      <w:r w:rsidRPr="00136A37">
        <w:rPr>
          <w:rFonts w:ascii="Verdana" w:hAnsi="Verdana"/>
          <w:sz w:val="20"/>
          <w:szCs w:val="20"/>
        </w:rPr>
        <w:t xml:space="preserve">. </w:t>
      </w:r>
      <w:r w:rsidR="00C00FCB">
        <w:rPr>
          <w:rFonts w:ascii="Verdana" w:hAnsi="Verdana"/>
          <w:sz w:val="20"/>
          <w:szCs w:val="20"/>
          <w:lang w:val="sr-Cyrl-RS"/>
        </w:rPr>
        <w:t xml:space="preserve">11 и 23. </w:t>
      </w:r>
      <w:r w:rsidR="00714A43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Покрајинске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скупштинске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буџету</w:t>
      </w:r>
      <w:proofErr w:type="spellEnd"/>
      <w:r w:rsidRPr="00136A37">
        <w:rPr>
          <w:rFonts w:ascii="Verdana" w:hAnsi="Verdana"/>
          <w:sz w:val="20"/>
          <w:szCs w:val="20"/>
        </w:rPr>
        <w:t xml:space="preserve"> („</w:t>
      </w:r>
      <w:proofErr w:type="spellStart"/>
      <w:r w:rsidRPr="00136A37">
        <w:rPr>
          <w:rFonts w:ascii="Verdana" w:hAnsi="Verdana"/>
          <w:sz w:val="20"/>
          <w:szCs w:val="20"/>
        </w:rPr>
        <w:t>Службени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лист</w:t>
      </w:r>
      <w:proofErr w:type="spellEnd"/>
      <w:r w:rsidRPr="00136A37">
        <w:rPr>
          <w:rFonts w:ascii="Verdana" w:hAnsi="Verdana"/>
          <w:sz w:val="20"/>
          <w:szCs w:val="20"/>
        </w:rPr>
        <w:t xml:space="preserve"> АПВ”, </w:t>
      </w:r>
      <w:proofErr w:type="spellStart"/>
      <w:r w:rsidRPr="00136A37">
        <w:rPr>
          <w:rFonts w:ascii="Verdana" w:hAnsi="Verdana"/>
          <w:sz w:val="20"/>
          <w:szCs w:val="20"/>
        </w:rPr>
        <w:t>бр</w:t>
      </w:r>
      <w:proofErr w:type="spellEnd"/>
      <w:r w:rsidRPr="00136A37">
        <w:rPr>
          <w:rFonts w:ascii="Verdana" w:hAnsi="Verdana"/>
          <w:sz w:val="20"/>
          <w:szCs w:val="20"/>
        </w:rPr>
        <w:t>. 54/22</w:t>
      </w:r>
      <w:r w:rsidR="006815CF" w:rsidRPr="00136A37">
        <w:rPr>
          <w:rFonts w:ascii="Verdana" w:hAnsi="Verdana"/>
          <w:sz w:val="20"/>
          <w:szCs w:val="20"/>
          <w:lang w:val="sr-Cyrl-RS"/>
        </w:rPr>
        <w:t>,</w:t>
      </w:r>
      <w:r w:rsidRPr="00136A37">
        <w:rPr>
          <w:rFonts w:ascii="Verdana" w:hAnsi="Verdana"/>
          <w:sz w:val="20"/>
          <w:szCs w:val="20"/>
        </w:rPr>
        <w:t xml:space="preserve"> 27/23</w:t>
      </w:r>
      <w:r w:rsidR="006815CF" w:rsidRPr="00136A37">
        <w:rPr>
          <w:rFonts w:ascii="Verdana" w:hAnsi="Verdana"/>
          <w:sz w:val="20"/>
          <w:szCs w:val="20"/>
          <w:lang w:val="sr-Cyrl-RS"/>
        </w:rPr>
        <w:t xml:space="preserve"> и 35/23</w:t>
      </w:r>
      <w:r w:rsidRPr="00136A37">
        <w:rPr>
          <w:rFonts w:ascii="Verdana" w:hAnsi="Verdana"/>
          <w:sz w:val="20"/>
          <w:szCs w:val="20"/>
        </w:rPr>
        <w:t xml:space="preserve">) у </w:t>
      </w:r>
      <w:proofErr w:type="spellStart"/>
      <w:r w:rsidRPr="00136A37">
        <w:rPr>
          <w:rFonts w:ascii="Verdana" w:hAnsi="Verdana"/>
          <w:sz w:val="20"/>
          <w:szCs w:val="20"/>
        </w:rPr>
        <w:t>вези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чл</w:t>
      </w:r>
      <w:proofErr w:type="spellEnd"/>
      <w:r w:rsidRPr="00136A37">
        <w:rPr>
          <w:rFonts w:ascii="Verdana" w:hAnsi="Verdana"/>
          <w:sz w:val="20"/>
          <w:szCs w:val="20"/>
        </w:rPr>
        <w:t xml:space="preserve">. 31–58 </w:t>
      </w:r>
      <w:proofErr w:type="spellStart"/>
      <w:r w:rsidRPr="00136A37">
        <w:rPr>
          <w:rFonts w:ascii="Verdana" w:hAnsi="Verdana"/>
          <w:sz w:val="20"/>
          <w:szCs w:val="20"/>
        </w:rPr>
        <w:t>Закона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пољопривредном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земљишту</w:t>
      </w:r>
      <w:proofErr w:type="spellEnd"/>
      <w:r w:rsidRPr="00136A37">
        <w:rPr>
          <w:rFonts w:ascii="Verdana" w:hAnsi="Verdana"/>
          <w:sz w:val="20"/>
          <w:szCs w:val="20"/>
        </w:rPr>
        <w:t xml:space="preserve"> („</w:t>
      </w:r>
      <w:proofErr w:type="spellStart"/>
      <w:r w:rsidRPr="00136A37">
        <w:rPr>
          <w:rFonts w:ascii="Verdana" w:hAnsi="Verdana"/>
          <w:sz w:val="20"/>
          <w:szCs w:val="20"/>
        </w:rPr>
        <w:t>Службени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гласник</w:t>
      </w:r>
      <w:proofErr w:type="spellEnd"/>
      <w:r w:rsidRPr="00136A37">
        <w:rPr>
          <w:rFonts w:ascii="Verdana" w:hAnsi="Verdana"/>
          <w:sz w:val="20"/>
          <w:szCs w:val="20"/>
        </w:rPr>
        <w:t xml:space="preserve"> РС”, </w:t>
      </w:r>
      <w:proofErr w:type="spellStart"/>
      <w:r w:rsidRPr="00136A37">
        <w:rPr>
          <w:rFonts w:ascii="Verdana" w:hAnsi="Verdana"/>
          <w:sz w:val="20"/>
          <w:szCs w:val="20"/>
        </w:rPr>
        <w:t>бр</w:t>
      </w:r>
      <w:proofErr w:type="spellEnd"/>
      <w:r w:rsidRPr="00136A37">
        <w:rPr>
          <w:rFonts w:ascii="Verdana" w:hAnsi="Verdana"/>
          <w:sz w:val="20"/>
          <w:szCs w:val="20"/>
        </w:rPr>
        <w:t xml:space="preserve">. 62/06, 65/08 – </w:t>
      </w:r>
      <w:proofErr w:type="spellStart"/>
      <w:r w:rsidRPr="00136A37">
        <w:rPr>
          <w:rFonts w:ascii="Verdana" w:hAnsi="Verdana"/>
          <w:sz w:val="20"/>
          <w:szCs w:val="20"/>
        </w:rPr>
        <w:t>др</w:t>
      </w:r>
      <w:proofErr w:type="spellEnd"/>
      <w:r w:rsidRPr="00136A37">
        <w:rPr>
          <w:rFonts w:ascii="Verdana" w:hAnsi="Verdana"/>
          <w:sz w:val="20"/>
          <w:szCs w:val="20"/>
        </w:rPr>
        <w:t xml:space="preserve">. </w:t>
      </w:r>
      <w:proofErr w:type="spellStart"/>
      <w:r w:rsidRPr="00136A37">
        <w:rPr>
          <w:rFonts w:ascii="Verdana" w:hAnsi="Verdana"/>
          <w:sz w:val="20"/>
          <w:szCs w:val="20"/>
        </w:rPr>
        <w:t>закон</w:t>
      </w:r>
      <w:proofErr w:type="spellEnd"/>
      <w:r w:rsidRPr="00136A37">
        <w:rPr>
          <w:rFonts w:ascii="Verdana" w:hAnsi="Verdana"/>
          <w:sz w:val="20"/>
          <w:szCs w:val="20"/>
        </w:rPr>
        <w:t xml:space="preserve">, 41/09 , 112/15, 80/17 и 95/18-др.закон) и </w:t>
      </w:r>
      <w:proofErr w:type="spellStart"/>
      <w:r w:rsidRPr="00136A37">
        <w:rPr>
          <w:rFonts w:ascii="Verdana" w:hAnsi="Verdana"/>
          <w:sz w:val="20"/>
          <w:szCs w:val="20"/>
        </w:rPr>
        <w:t>Покрајинском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скупштинском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програму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заштите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уређења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коришћења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пољопривредног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територији</w:t>
      </w:r>
      <w:proofErr w:type="spellEnd"/>
      <w:r w:rsidRPr="00136A37">
        <w:rPr>
          <w:rFonts w:ascii="Verdana" w:hAnsi="Verdana"/>
          <w:sz w:val="20"/>
          <w:szCs w:val="20"/>
        </w:rPr>
        <w:t xml:space="preserve"> АП </w:t>
      </w:r>
      <w:proofErr w:type="spellStart"/>
      <w:r w:rsidRPr="00136A37">
        <w:rPr>
          <w:rFonts w:ascii="Verdana" w:hAnsi="Verdana"/>
          <w:sz w:val="20"/>
          <w:szCs w:val="20"/>
        </w:rPr>
        <w:t>Војводине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2023. </w:t>
      </w:r>
      <w:proofErr w:type="spellStart"/>
      <w:r w:rsidRPr="00136A37">
        <w:rPr>
          <w:rFonts w:ascii="Verdana" w:hAnsi="Verdana"/>
          <w:sz w:val="20"/>
          <w:szCs w:val="20"/>
        </w:rPr>
        <w:t>години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(„</w:t>
      </w:r>
      <w:proofErr w:type="spellStart"/>
      <w:r w:rsidRPr="00136A37">
        <w:rPr>
          <w:rFonts w:ascii="Verdana" w:hAnsi="Verdana"/>
          <w:sz w:val="20"/>
          <w:szCs w:val="20"/>
        </w:rPr>
        <w:t>Службени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лист</w:t>
      </w:r>
      <w:proofErr w:type="spellEnd"/>
      <w:r w:rsidRPr="00136A37">
        <w:rPr>
          <w:rFonts w:ascii="Verdana" w:hAnsi="Verdana"/>
          <w:sz w:val="20"/>
          <w:szCs w:val="20"/>
        </w:rPr>
        <w:t xml:space="preserve"> АПВ”, </w:t>
      </w:r>
      <w:proofErr w:type="spellStart"/>
      <w:r w:rsidRPr="00136A37">
        <w:rPr>
          <w:rFonts w:ascii="Verdana" w:hAnsi="Verdana"/>
          <w:sz w:val="20"/>
          <w:szCs w:val="20"/>
        </w:rPr>
        <w:t>брoj</w:t>
      </w:r>
      <w:proofErr w:type="spellEnd"/>
      <w:r w:rsidRPr="00136A37">
        <w:rPr>
          <w:rFonts w:ascii="Verdana" w:hAnsi="Verdana"/>
          <w:sz w:val="20"/>
          <w:szCs w:val="20"/>
        </w:rPr>
        <w:t xml:space="preserve"> 54/22</w:t>
      </w:r>
      <w:r w:rsidR="006815CF" w:rsidRPr="00136A37">
        <w:rPr>
          <w:rFonts w:ascii="Verdana" w:hAnsi="Verdana"/>
          <w:sz w:val="20"/>
          <w:szCs w:val="20"/>
          <w:lang w:val="sr-Cyrl-RS"/>
        </w:rPr>
        <w:t>,</w:t>
      </w:r>
      <w:r w:rsidRPr="00136A37">
        <w:rPr>
          <w:rFonts w:ascii="Verdana" w:hAnsi="Verdana"/>
          <w:sz w:val="20"/>
          <w:szCs w:val="20"/>
        </w:rPr>
        <w:t xml:space="preserve"> 27/23</w:t>
      </w:r>
      <w:r w:rsidR="006815CF" w:rsidRPr="00136A37">
        <w:rPr>
          <w:rFonts w:ascii="Verdana" w:hAnsi="Verdana"/>
          <w:sz w:val="20"/>
          <w:szCs w:val="20"/>
          <w:lang w:val="sr-Cyrl-RS"/>
        </w:rPr>
        <w:t xml:space="preserve"> и 35/23</w:t>
      </w:r>
      <w:r w:rsidRPr="00136A37">
        <w:rPr>
          <w:rFonts w:ascii="Verdana" w:hAnsi="Verdana"/>
          <w:sz w:val="20"/>
          <w:szCs w:val="20"/>
        </w:rPr>
        <w:t xml:space="preserve">), а у </w:t>
      </w:r>
      <w:proofErr w:type="spellStart"/>
      <w:r w:rsidRPr="00136A37">
        <w:rPr>
          <w:rFonts w:ascii="Verdana" w:hAnsi="Verdana"/>
          <w:sz w:val="20"/>
          <w:szCs w:val="20"/>
        </w:rPr>
        <w:t>вези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Правилником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спровођењу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конкурса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које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расписује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Покрајински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секретаријат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за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пољопривреду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водопривреду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шумарство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(„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Службени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лист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АП </w:t>
      </w:r>
      <w:proofErr w:type="spellStart"/>
      <w:r w:rsidR="000828A3" w:rsidRPr="00136A37">
        <w:rPr>
          <w:rFonts w:ascii="Verdana" w:hAnsi="Verdana" w:cs="Calibri"/>
          <w:sz w:val="20"/>
          <w:szCs w:val="20"/>
        </w:rPr>
        <w:t>Војводине</w:t>
      </w:r>
      <w:proofErr w:type="spellEnd"/>
      <w:r w:rsidR="000828A3" w:rsidRPr="00136A37">
        <w:rPr>
          <w:rFonts w:ascii="Verdana" w:hAnsi="Verdana" w:cs="Calibri"/>
          <w:sz w:val="20"/>
          <w:szCs w:val="20"/>
        </w:rPr>
        <w:t xml:space="preserve"> 8/2023),</w:t>
      </w:r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покрајински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секретар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пољопривреду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водопривреду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шумарство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доноси</w:t>
      </w:r>
      <w:proofErr w:type="spellEnd"/>
    </w:p>
    <w:p w:rsidR="007305D9" w:rsidRPr="00136A37" w:rsidRDefault="007305D9" w:rsidP="00741386">
      <w:pPr>
        <w:jc w:val="center"/>
        <w:rPr>
          <w:rFonts w:ascii="Verdana" w:hAnsi="Verdana"/>
          <w:b/>
          <w:sz w:val="20"/>
          <w:szCs w:val="20"/>
        </w:rPr>
      </w:pPr>
      <w:r w:rsidRPr="00136A37">
        <w:rPr>
          <w:rFonts w:ascii="Verdana" w:hAnsi="Verdana"/>
          <w:b/>
          <w:sz w:val="20"/>
          <w:szCs w:val="20"/>
        </w:rPr>
        <w:t>ПРАВИЛНИК</w:t>
      </w:r>
      <w:r w:rsidR="00741386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136A37">
        <w:rPr>
          <w:rFonts w:ascii="Verdana" w:hAnsi="Verdana"/>
          <w:b/>
          <w:sz w:val="20"/>
          <w:szCs w:val="20"/>
        </w:rPr>
        <w:t>О</w:t>
      </w:r>
    </w:p>
    <w:p w:rsidR="007305D9" w:rsidRPr="00136A37" w:rsidRDefault="007305D9" w:rsidP="007305D9">
      <w:pPr>
        <w:jc w:val="center"/>
        <w:rPr>
          <w:rFonts w:ascii="Verdana" w:hAnsi="Verdana"/>
          <w:b/>
          <w:sz w:val="20"/>
          <w:szCs w:val="20"/>
        </w:rPr>
      </w:pPr>
      <w:r w:rsidRPr="00136A37">
        <w:rPr>
          <w:rFonts w:ascii="Verdana" w:hAnsi="Verdana"/>
          <w:b/>
          <w:sz w:val="20"/>
          <w:szCs w:val="20"/>
        </w:rPr>
        <w:t>ДОДЕЛИ ПОДСТИЦАЈНИХ СРЕДСТАВА ПУТЕМ КО</w:t>
      </w:r>
      <w:bookmarkStart w:id="0" w:name="_GoBack"/>
      <w:bookmarkEnd w:id="0"/>
      <w:r w:rsidRPr="00136A37">
        <w:rPr>
          <w:rFonts w:ascii="Verdana" w:hAnsi="Verdana"/>
          <w:b/>
          <w:sz w:val="20"/>
          <w:szCs w:val="20"/>
        </w:rPr>
        <w:t xml:space="preserve">НКУРСА ЗА </w:t>
      </w:r>
      <w:r w:rsidR="0040487A" w:rsidRPr="00136A37">
        <w:rPr>
          <w:rFonts w:ascii="Verdana" w:hAnsi="Verdana"/>
          <w:b/>
          <w:sz w:val="20"/>
          <w:szCs w:val="20"/>
          <w:lang w:val="sr-Cyrl-RS"/>
        </w:rPr>
        <w:t xml:space="preserve">ДОДЕЛУ ПОДСТИЦАЈНИХ СРЕДСТАВА ЗА </w:t>
      </w:r>
      <w:r w:rsidRPr="00136A37">
        <w:rPr>
          <w:rFonts w:ascii="Verdana" w:hAnsi="Verdana"/>
          <w:b/>
          <w:sz w:val="20"/>
          <w:szCs w:val="20"/>
        </w:rPr>
        <w:t>УКЛАЊАЊЕ ДИВЉИХ ДЕПОНИЈА С</w:t>
      </w:r>
      <w:r w:rsidRPr="00136A37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136A37">
        <w:rPr>
          <w:rFonts w:ascii="Verdana" w:hAnsi="Verdana"/>
          <w:b/>
          <w:sz w:val="20"/>
          <w:szCs w:val="20"/>
        </w:rPr>
        <w:t xml:space="preserve">ПОЉОПРИВРЕДНОГ ЗЕМЉИШТА </w:t>
      </w:r>
      <w:r w:rsidR="0040487A" w:rsidRPr="00136A37">
        <w:rPr>
          <w:rFonts w:ascii="Verdana" w:hAnsi="Verdana"/>
          <w:b/>
          <w:sz w:val="20"/>
          <w:szCs w:val="20"/>
          <w:lang w:val="sr-Cyrl-RS"/>
        </w:rPr>
        <w:t>У</w:t>
      </w:r>
      <w:r w:rsidR="0040487A" w:rsidRPr="00136A37">
        <w:rPr>
          <w:rFonts w:ascii="Verdana" w:hAnsi="Verdana"/>
          <w:b/>
          <w:sz w:val="20"/>
          <w:szCs w:val="20"/>
        </w:rPr>
        <w:t xml:space="preserve"> АП ВОЈВОДИНИ</w:t>
      </w:r>
      <w:r w:rsidRPr="00136A37">
        <w:rPr>
          <w:rFonts w:ascii="Verdana" w:hAnsi="Verdana"/>
          <w:b/>
          <w:sz w:val="20"/>
          <w:szCs w:val="20"/>
        </w:rPr>
        <w:t xml:space="preserve"> У 20</w:t>
      </w:r>
      <w:r w:rsidR="00BD01D1" w:rsidRPr="00136A37">
        <w:rPr>
          <w:rFonts w:ascii="Verdana" w:hAnsi="Verdana"/>
          <w:b/>
          <w:sz w:val="20"/>
          <w:szCs w:val="20"/>
          <w:lang w:val="sr-Cyrl-RS"/>
        </w:rPr>
        <w:t>2</w:t>
      </w:r>
      <w:r w:rsidR="0040487A" w:rsidRPr="00136A37">
        <w:rPr>
          <w:rFonts w:ascii="Verdana" w:hAnsi="Verdana"/>
          <w:b/>
          <w:sz w:val="20"/>
          <w:szCs w:val="20"/>
          <w:lang w:val="sr-Cyrl-RS"/>
        </w:rPr>
        <w:t>3</w:t>
      </w:r>
      <w:r w:rsidRPr="00136A37">
        <w:rPr>
          <w:rFonts w:ascii="Verdana" w:hAnsi="Verdana"/>
          <w:b/>
          <w:sz w:val="20"/>
          <w:szCs w:val="20"/>
        </w:rPr>
        <w:t>. ГОДИНИ</w:t>
      </w:r>
    </w:p>
    <w:p w:rsidR="007305D9" w:rsidRPr="00136A37" w:rsidRDefault="007305D9" w:rsidP="007305D9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t>Опште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одредбе</w:t>
      </w:r>
      <w:proofErr w:type="spellEnd"/>
    </w:p>
    <w:p w:rsidR="007305D9" w:rsidRPr="00136A37" w:rsidRDefault="007305D9" w:rsidP="007305D9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1.</w:t>
      </w:r>
    </w:p>
    <w:p w:rsidR="007305D9" w:rsidRPr="0072711E" w:rsidRDefault="007305D9" w:rsidP="007305D9">
      <w:pPr>
        <w:jc w:val="both"/>
        <w:rPr>
          <w:rFonts w:ascii="Verdana" w:hAnsi="Verdana"/>
          <w:sz w:val="20"/>
          <w:szCs w:val="20"/>
          <w:lang w:val="sr-Cyrl-RS"/>
        </w:rPr>
      </w:pPr>
      <w:proofErr w:type="spellStart"/>
      <w:r w:rsidRPr="00136A37">
        <w:rPr>
          <w:rFonts w:ascii="Verdana" w:hAnsi="Verdana"/>
          <w:sz w:val="20"/>
          <w:szCs w:val="20"/>
        </w:rPr>
        <w:t>Овим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правилником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прописује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поступак</w:t>
      </w:r>
      <w:proofErr w:type="spellEnd"/>
      <w:r w:rsidRPr="00136A37">
        <w:rPr>
          <w:rFonts w:ascii="Verdana" w:hAnsi="Verdana"/>
          <w:sz w:val="20"/>
          <w:szCs w:val="20"/>
        </w:rPr>
        <w:t xml:space="preserve"> (</w:t>
      </w:r>
      <w:proofErr w:type="spellStart"/>
      <w:r w:rsidRPr="00136A37">
        <w:rPr>
          <w:rFonts w:ascii="Verdana" w:hAnsi="Verdana"/>
          <w:sz w:val="20"/>
          <w:szCs w:val="20"/>
        </w:rPr>
        <w:t>намена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конкурс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право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учешћа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поступак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пријавама</w:t>
      </w:r>
      <w:proofErr w:type="spellEnd"/>
      <w:r w:rsidRPr="00136A37">
        <w:rPr>
          <w:rFonts w:ascii="Verdana" w:hAnsi="Verdana"/>
          <w:sz w:val="20"/>
          <w:szCs w:val="20"/>
        </w:rPr>
        <w:t>,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разматрање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бодовање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критеријуми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доделу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одлучивање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уговарање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праћење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реализације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завршне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одредбе</w:t>
      </w:r>
      <w:proofErr w:type="spellEnd"/>
      <w:r w:rsidRPr="00136A37">
        <w:rPr>
          <w:rFonts w:ascii="Verdana" w:hAnsi="Verdana"/>
          <w:sz w:val="20"/>
          <w:szCs w:val="20"/>
        </w:rPr>
        <w:t xml:space="preserve">) </w:t>
      </w:r>
      <w:proofErr w:type="spellStart"/>
      <w:r w:rsidRPr="00136A37">
        <w:rPr>
          <w:rFonts w:ascii="Verdana" w:hAnsi="Verdana"/>
          <w:sz w:val="20"/>
          <w:szCs w:val="20"/>
        </w:rPr>
        <w:t>доделе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подстицајних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путем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конкурса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уклањање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дивљих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пољопривредног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по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="000828A3" w:rsidRPr="00136A37">
        <w:rPr>
          <w:rFonts w:ascii="Verdana" w:hAnsi="Verdana"/>
          <w:sz w:val="20"/>
          <w:szCs w:val="20"/>
          <w:lang w:val="sr-Cyrl-RS"/>
        </w:rPr>
        <w:t xml:space="preserve">тачки 2.3. </w:t>
      </w:r>
      <w:r w:rsidR="000828A3" w:rsidRPr="0072711E">
        <w:rPr>
          <w:rFonts w:ascii="Verdana" w:hAnsi="Verdana"/>
          <w:sz w:val="20"/>
          <w:szCs w:val="20"/>
          <w:lang w:val="sr-Cyrl-RS"/>
        </w:rPr>
        <w:t>Програма</w:t>
      </w:r>
      <w:r w:rsidRPr="0072711E">
        <w:rPr>
          <w:rFonts w:ascii="Verdana" w:hAnsi="Verdana"/>
          <w:sz w:val="20"/>
          <w:szCs w:val="20"/>
          <w:lang w:val="sr-Cyrl-RS"/>
        </w:rPr>
        <w:t xml:space="preserve"> заштите, уређења и коришћења пољопривредног земљишта на територији АП Војводине у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="00BD01D1" w:rsidRPr="0072711E">
        <w:rPr>
          <w:rFonts w:ascii="Verdana" w:hAnsi="Verdana"/>
          <w:sz w:val="20"/>
          <w:szCs w:val="20"/>
          <w:lang w:val="sr-Cyrl-RS"/>
        </w:rPr>
        <w:t>202</w:t>
      </w:r>
      <w:r w:rsidR="001D345D" w:rsidRPr="00136A37">
        <w:rPr>
          <w:rFonts w:ascii="Verdana" w:hAnsi="Verdana"/>
          <w:sz w:val="20"/>
          <w:szCs w:val="20"/>
          <w:lang w:val="sr-Cyrl-RS"/>
        </w:rPr>
        <w:t>3</w:t>
      </w:r>
      <w:r w:rsidRPr="0072711E">
        <w:rPr>
          <w:rFonts w:ascii="Verdana" w:hAnsi="Verdana"/>
          <w:sz w:val="20"/>
          <w:szCs w:val="20"/>
          <w:lang w:val="sr-Cyrl-RS"/>
        </w:rPr>
        <w:t>. год</w:t>
      </w:r>
      <w:r w:rsidR="00842BCC" w:rsidRPr="0072711E">
        <w:rPr>
          <w:rFonts w:ascii="Verdana" w:hAnsi="Verdana"/>
          <w:sz w:val="20"/>
          <w:szCs w:val="20"/>
          <w:lang w:val="sr-Cyrl-RS"/>
        </w:rPr>
        <w:t>ини („Службени лист АПВ”, бр. 54/</w:t>
      </w:r>
      <w:r w:rsidR="001D345D" w:rsidRPr="00136A37">
        <w:rPr>
          <w:rFonts w:ascii="Verdana" w:hAnsi="Verdana"/>
          <w:sz w:val="20"/>
          <w:szCs w:val="20"/>
          <w:lang w:val="sr-Cyrl-RS"/>
        </w:rPr>
        <w:t>22</w:t>
      </w:r>
      <w:r w:rsidR="006815CF" w:rsidRPr="00136A37">
        <w:rPr>
          <w:rFonts w:ascii="Verdana" w:hAnsi="Verdana"/>
          <w:sz w:val="20"/>
          <w:szCs w:val="20"/>
          <w:lang w:val="sr-Cyrl-RS"/>
        </w:rPr>
        <w:t>,</w:t>
      </w:r>
      <w:r w:rsidR="001D345D" w:rsidRPr="00136A37">
        <w:rPr>
          <w:rFonts w:ascii="Verdana" w:hAnsi="Verdana"/>
          <w:sz w:val="20"/>
          <w:szCs w:val="20"/>
          <w:lang w:val="sr-Cyrl-RS"/>
        </w:rPr>
        <w:t xml:space="preserve"> 27/23</w:t>
      </w:r>
      <w:r w:rsidR="003F2CDC" w:rsidRPr="00136A37">
        <w:rPr>
          <w:rFonts w:ascii="Verdana" w:hAnsi="Verdana"/>
          <w:sz w:val="20"/>
          <w:szCs w:val="20"/>
          <w:lang w:val="sr-Cyrl-RS"/>
        </w:rPr>
        <w:t xml:space="preserve"> и 35/23</w:t>
      </w:r>
      <w:r w:rsidRPr="0072711E">
        <w:rPr>
          <w:rFonts w:ascii="Verdana" w:hAnsi="Verdana"/>
          <w:sz w:val="20"/>
          <w:szCs w:val="20"/>
          <w:lang w:val="sr-Cyrl-RS"/>
        </w:rPr>
        <w:t>) у даљем тексту: Програм.</w:t>
      </w:r>
    </w:p>
    <w:p w:rsidR="007305D9" w:rsidRPr="0072711E" w:rsidRDefault="007305D9" w:rsidP="007305D9">
      <w:pPr>
        <w:jc w:val="both"/>
        <w:rPr>
          <w:rFonts w:ascii="Verdana" w:hAnsi="Verdana"/>
          <w:sz w:val="20"/>
          <w:szCs w:val="20"/>
          <w:lang w:val="sr-Cyrl-RS"/>
        </w:rPr>
      </w:pPr>
      <w:r w:rsidRPr="0072711E">
        <w:rPr>
          <w:rFonts w:ascii="Verdana" w:hAnsi="Verdana"/>
          <w:sz w:val="20"/>
          <w:szCs w:val="20"/>
          <w:lang w:val="sr-Cyrl-RS"/>
        </w:rPr>
        <w:t>Програм из става 1. овог члана донела је Скупштина Аутономне покрајине Војводине, а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72711E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пољопривреду, водопривреду и шумарство (у даљем тексту: Секретаријат)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72711E">
        <w:rPr>
          <w:rFonts w:ascii="Verdana" w:hAnsi="Verdana"/>
          <w:sz w:val="20"/>
          <w:szCs w:val="20"/>
          <w:lang w:val="sr-Cyrl-RS"/>
        </w:rPr>
        <w:t>задужен је за његову реализацију.</w:t>
      </w:r>
    </w:p>
    <w:p w:rsidR="000828A3" w:rsidRPr="0072711E" w:rsidRDefault="000828A3" w:rsidP="007305D9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7305D9" w:rsidRPr="00136A37" w:rsidRDefault="007305D9" w:rsidP="007305D9">
      <w:pPr>
        <w:jc w:val="center"/>
        <w:rPr>
          <w:rFonts w:ascii="Verdana" w:hAnsi="Verdana" w:cstheme="minorHAnsi"/>
          <w:b/>
          <w:sz w:val="20"/>
          <w:szCs w:val="20"/>
        </w:rPr>
      </w:pP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Висина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начин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доделе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средстава</w:t>
      </w:r>
      <w:proofErr w:type="spellEnd"/>
    </w:p>
    <w:p w:rsidR="007305D9" w:rsidRPr="00136A37" w:rsidRDefault="007305D9" w:rsidP="007305D9">
      <w:pPr>
        <w:jc w:val="center"/>
        <w:rPr>
          <w:rFonts w:ascii="Verdana" w:hAnsi="Verdana" w:cstheme="minorHAnsi"/>
          <w:sz w:val="20"/>
          <w:szCs w:val="20"/>
        </w:rPr>
      </w:pPr>
      <w:proofErr w:type="spellStart"/>
      <w:r w:rsidRPr="00136A37">
        <w:rPr>
          <w:rFonts w:ascii="Verdana" w:hAnsi="Verdana" w:cstheme="minorHAnsi"/>
          <w:sz w:val="20"/>
          <w:szCs w:val="20"/>
        </w:rPr>
        <w:t>Члан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2.</w:t>
      </w:r>
    </w:p>
    <w:p w:rsidR="007305D9" w:rsidRPr="00136A37" w:rsidRDefault="007305D9" w:rsidP="007305D9">
      <w:pPr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FA026F">
        <w:rPr>
          <w:rFonts w:ascii="Verdana" w:hAnsi="Verdana" w:cstheme="minorHAnsi"/>
          <w:sz w:val="20"/>
          <w:szCs w:val="20"/>
        </w:rPr>
        <w:t>Укупан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износ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бесповратних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средстава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који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се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додељује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по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овом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конкурсу</w:t>
      </w:r>
      <w:proofErr w:type="spell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proofErr w:type="gramStart"/>
      <w:r w:rsidRPr="00FA026F">
        <w:rPr>
          <w:rFonts w:ascii="Verdana" w:hAnsi="Verdana" w:cstheme="minorHAnsi"/>
          <w:sz w:val="20"/>
          <w:szCs w:val="20"/>
        </w:rPr>
        <w:t>јесте</w:t>
      </w:r>
      <w:proofErr w:type="spellEnd"/>
      <w:r w:rsidRPr="00FA026F">
        <w:rPr>
          <w:rFonts w:ascii="Verdana" w:hAnsi="Verdana" w:cstheme="minorHAnsi"/>
          <w:sz w:val="20"/>
          <w:szCs w:val="20"/>
          <w:lang w:val="sr-Cyrl-RS"/>
        </w:rPr>
        <w:t xml:space="preserve">  </w:t>
      </w:r>
      <w:r w:rsidR="003F2CDC" w:rsidRPr="00FA026F">
        <w:rPr>
          <w:rFonts w:ascii="Verdana" w:hAnsi="Verdana" w:cstheme="minorHAnsi"/>
          <w:b/>
          <w:sz w:val="20"/>
          <w:szCs w:val="20"/>
        </w:rPr>
        <w:t>32</w:t>
      </w:r>
      <w:r w:rsidR="001D345D" w:rsidRPr="00FA026F">
        <w:rPr>
          <w:rFonts w:ascii="Verdana" w:hAnsi="Verdana" w:cstheme="minorHAnsi"/>
          <w:b/>
          <w:sz w:val="20"/>
          <w:szCs w:val="20"/>
        </w:rPr>
        <w:t>0</w:t>
      </w:r>
      <w:r w:rsidRPr="00FA026F">
        <w:rPr>
          <w:rFonts w:ascii="Verdana" w:hAnsi="Verdana" w:cstheme="minorHAnsi"/>
          <w:b/>
          <w:sz w:val="20"/>
          <w:szCs w:val="20"/>
        </w:rPr>
        <w:t>.000.000,00</w:t>
      </w:r>
      <w:proofErr w:type="gramEnd"/>
      <w:r w:rsidRPr="00FA026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FA026F">
        <w:rPr>
          <w:rFonts w:ascii="Verdana" w:hAnsi="Verdana" w:cstheme="minorHAnsi"/>
          <w:sz w:val="20"/>
          <w:szCs w:val="20"/>
        </w:rPr>
        <w:t>динара</w:t>
      </w:r>
      <w:proofErr w:type="spellEnd"/>
      <w:r w:rsidRPr="00136A37">
        <w:rPr>
          <w:rFonts w:ascii="Verdana" w:hAnsi="Verdana" w:cstheme="minorHAnsi"/>
          <w:sz w:val="20"/>
          <w:szCs w:val="20"/>
        </w:rPr>
        <w:t>.</w:t>
      </w:r>
    </w:p>
    <w:p w:rsidR="003F2CDC" w:rsidRPr="00136A37" w:rsidRDefault="003F2CDC" w:rsidP="003F2CDC">
      <w:pPr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36A37">
        <w:rPr>
          <w:rFonts w:ascii="Verdana" w:hAnsi="Verdana" w:cstheme="minorHAnsi"/>
          <w:sz w:val="20"/>
          <w:szCs w:val="20"/>
          <w:lang w:val="sr-Cyrl-RS"/>
        </w:rPr>
        <w:t xml:space="preserve">Средства која се по овом конкурсу додељују за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уклањање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комуналног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неопасног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инертног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отпада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r w:rsidRPr="00136A37">
        <w:rPr>
          <w:rFonts w:ascii="Verdana" w:hAnsi="Verdana" w:cstheme="minorHAnsi"/>
          <w:sz w:val="20"/>
          <w:szCs w:val="20"/>
          <w:lang w:val="sr-Cyrl-RS"/>
        </w:rPr>
        <w:t>у целости се обезбеђују из Буџета АП Војводине.</w:t>
      </w:r>
    </w:p>
    <w:p w:rsidR="00DD0BAC" w:rsidRPr="00136A37" w:rsidRDefault="00DD0BAC" w:rsidP="00DD0BAC">
      <w:pPr>
        <w:ind w:right="-45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136A37">
        <w:rPr>
          <w:rFonts w:ascii="Verdana" w:hAnsi="Verdana" w:cstheme="minorHAnsi"/>
          <w:sz w:val="20"/>
          <w:szCs w:val="20"/>
        </w:rPr>
        <w:t>Бесповратна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средства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за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подршку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инвестиција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по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конкурсу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утврђују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износу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до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r w:rsidRPr="00136A37">
        <w:rPr>
          <w:rFonts w:ascii="Verdana" w:hAnsi="Verdana" w:cstheme="minorHAnsi"/>
          <w:b/>
          <w:sz w:val="20"/>
          <w:szCs w:val="20"/>
        </w:rPr>
        <w:t>100%</w:t>
      </w:r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од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укупно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прихватљивих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трошкова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инвестиције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. </w:t>
      </w:r>
    </w:p>
    <w:p w:rsidR="00DD0BAC" w:rsidRPr="00136A37" w:rsidRDefault="00DD0BAC" w:rsidP="00620470">
      <w:pPr>
        <w:ind w:right="-45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136A37">
        <w:rPr>
          <w:rFonts w:ascii="Verdana" w:hAnsi="Verdana" w:cstheme="minorHAnsi"/>
          <w:sz w:val="20"/>
          <w:szCs w:val="20"/>
        </w:rPr>
        <w:t>Приликом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обрачуна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узима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вредност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инвестиције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без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пореза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на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додату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b/>
          <w:sz w:val="20"/>
          <w:szCs w:val="20"/>
        </w:rPr>
        <w:t>вредност</w:t>
      </w:r>
      <w:proofErr w:type="spellEnd"/>
      <w:r w:rsidRPr="00136A37">
        <w:rPr>
          <w:rFonts w:ascii="Verdana" w:hAnsi="Verdana" w:cstheme="minorHAnsi"/>
          <w:b/>
          <w:sz w:val="20"/>
          <w:szCs w:val="20"/>
        </w:rPr>
        <w:t xml:space="preserve"> (ПДВ).</w:t>
      </w:r>
    </w:p>
    <w:p w:rsidR="00D17870" w:rsidRPr="00136A37" w:rsidRDefault="007305D9" w:rsidP="007305D9">
      <w:pPr>
        <w:jc w:val="both"/>
        <w:rPr>
          <w:rFonts w:ascii="Verdana" w:hAnsi="Verdana" w:cstheme="minorHAnsi"/>
          <w:sz w:val="20"/>
          <w:szCs w:val="20"/>
          <w:lang w:val="sr-Cyrl-RS"/>
        </w:rPr>
      </w:pPr>
      <w:proofErr w:type="spellStart"/>
      <w:r w:rsidRPr="00136A37">
        <w:rPr>
          <w:rFonts w:ascii="Verdana" w:hAnsi="Verdana" w:cstheme="minorHAnsi"/>
          <w:sz w:val="20"/>
          <w:szCs w:val="20"/>
        </w:rPr>
        <w:t>Средства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додељују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на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основу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конкурса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који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објављује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у „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Службеном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листу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АП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Војводине</w:t>
      </w:r>
      <w:proofErr w:type="spellEnd"/>
      <w:r w:rsidRPr="00136A37">
        <w:rPr>
          <w:rFonts w:ascii="Verdana" w:hAnsi="Verdana" w:cstheme="minorHAnsi"/>
          <w:sz w:val="20"/>
          <w:szCs w:val="20"/>
        </w:rPr>
        <w:t>”,</w:t>
      </w:r>
      <w:r w:rsidRPr="00136A37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дневном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листу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„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Дневник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” и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на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интернет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страници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Секретаријата</w:t>
      </w:r>
      <w:proofErr w:type="spellEnd"/>
      <w:r w:rsidRPr="00136A37">
        <w:rPr>
          <w:rFonts w:ascii="Verdana" w:hAnsi="Verdana" w:cstheme="minorHAnsi"/>
          <w:sz w:val="20"/>
          <w:szCs w:val="20"/>
        </w:rPr>
        <w:t>.</w:t>
      </w:r>
    </w:p>
    <w:p w:rsidR="00D17870" w:rsidRDefault="00D17870" w:rsidP="007305D9">
      <w:pPr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620470" w:rsidRDefault="00620470" w:rsidP="007305D9">
      <w:pPr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741386" w:rsidRPr="00136A37" w:rsidRDefault="00741386" w:rsidP="007305D9">
      <w:pPr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:rsidR="007305D9" w:rsidRPr="00136A37" w:rsidRDefault="007305D9" w:rsidP="007305D9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lastRenderedPageBreak/>
        <w:t>Намене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за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које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се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могу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користити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средства</w:t>
      </w:r>
      <w:proofErr w:type="spellEnd"/>
    </w:p>
    <w:p w:rsidR="007305D9" w:rsidRPr="00136A37" w:rsidRDefault="007305D9" w:rsidP="007305D9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3.</w:t>
      </w:r>
    </w:p>
    <w:p w:rsidR="007305D9" w:rsidRPr="00136A37" w:rsidRDefault="00F54628" w:rsidP="007305D9">
      <w:pPr>
        <w:jc w:val="both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С</w:t>
      </w:r>
      <w:proofErr w:type="spellStart"/>
      <w:r w:rsidR="007305D9" w:rsidRPr="00136A37">
        <w:rPr>
          <w:rFonts w:ascii="Verdana" w:hAnsi="Verdana"/>
          <w:sz w:val="20"/>
          <w:szCs w:val="20"/>
        </w:rPr>
        <w:t>редства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се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додељују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путем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конкурса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за</w:t>
      </w:r>
      <w:proofErr w:type="spellEnd"/>
      <w:r w:rsidR="007305D9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6362AD" w:rsidRPr="00136A37">
        <w:rPr>
          <w:rFonts w:ascii="Verdana" w:hAnsi="Verdana"/>
          <w:sz w:val="20"/>
          <w:szCs w:val="20"/>
        </w:rPr>
        <w:t>уклањање</w:t>
      </w:r>
      <w:proofErr w:type="spellEnd"/>
      <w:r w:rsidR="006362AD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7305D9" w:rsidRPr="00136A37">
        <w:rPr>
          <w:rFonts w:ascii="Verdana" w:hAnsi="Verdana"/>
          <w:sz w:val="20"/>
          <w:szCs w:val="20"/>
        </w:rPr>
        <w:t>примарн</w:t>
      </w:r>
      <w:proofErr w:type="spellEnd"/>
      <w:r w:rsidR="006362AD" w:rsidRPr="00136A37">
        <w:rPr>
          <w:rFonts w:ascii="Verdana" w:hAnsi="Verdana"/>
          <w:sz w:val="20"/>
          <w:szCs w:val="20"/>
          <w:lang w:val="sr-Cyrl-RS"/>
        </w:rPr>
        <w:t>у</w:t>
      </w:r>
      <w:r w:rsidR="00E55336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E55336" w:rsidRPr="00136A37">
        <w:rPr>
          <w:rFonts w:ascii="Verdana" w:hAnsi="Verdana"/>
          <w:sz w:val="20"/>
          <w:szCs w:val="20"/>
        </w:rPr>
        <w:t>сепараци</w:t>
      </w:r>
      <w:proofErr w:type="spellEnd"/>
      <w:r w:rsidR="00E55336" w:rsidRPr="00136A37">
        <w:rPr>
          <w:rFonts w:ascii="Verdana" w:hAnsi="Verdana"/>
          <w:sz w:val="20"/>
          <w:szCs w:val="20"/>
          <w:lang w:val="sr-Cyrl-RS"/>
        </w:rPr>
        <w:t>ју</w:t>
      </w:r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или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други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третман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отпада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на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месту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дивље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депоније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ради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максималног</w:t>
      </w:r>
      <w:proofErr w:type="spellEnd"/>
      <w:r w:rsidR="007305D9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искоришћавања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комуналног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отпада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7305D9" w:rsidRPr="00136A37">
        <w:rPr>
          <w:rFonts w:ascii="Verdana" w:hAnsi="Verdana"/>
          <w:sz w:val="20"/>
          <w:szCs w:val="20"/>
        </w:rPr>
        <w:t>утовар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7305D9" w:rsidRPr="00136A37">
        <w:rPr>
          <w:rFonts w:ascii="Verdana" w:hAnsi="Verdana"/>
          <w:sz w:val="20"/>
          <w:szCs w:val="20"/>
        </w:rPr>
        <w:t>транспорт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7305D9" w:rsidRPr="00136A37">
        <w:rPr>
          <w:rFonts w:ascii="Verdana" w:hAnsi="Verdana"/>
          <w:sz w:val="20"/>
          <w:szCs w:val="20"/>
        </w:rPr>
        <w:t>одлагање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односно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адекватно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збрињавање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r w:rsidRPr="00136A37">
        <w:rPr>
          <w:rFonts w:ascii="Verdana" w:hAnsi="Verdana"/>
          <w:sz w:val="20"/>
          <w:szCs w:val="20"/>
          <w:lang w:val="sr-Cyrl-RS"/>
        </w:rPr>
        <w:t xml:space="preserve">комуналног, неопасног и инертног отпада </w:t>
      </w:r>
      <w:r w:rsidR="006362AD" w:rsidRPr="00136A37">
        <w:rPr>
          <w:rFonts w:ascii="Verdana" w:hAnsi="Verdana"/>
          <w:sz w:val="20"/>
          <w:szCs w:val="20"/>
        </w:rPr>
        <w:t xml:space="preserve">(у </w:t>
      </w:r>
      <w:proofErr w:type="spellStart"/>
      <w:r w:rsidR="006362AD" w:rsidRPr="00136A37">
        <w:rPr>
          <w:rFonts w:ascii="Verdana" w:hAnsi="Verdana"/>
          <w:sz w:val="20"/>
          <w:szCs w:val="20"/>
        </w:rPr>
        <w:t>даљем</w:t>
      </w:r>
      <w:proofErr w:type="spellEnd"/>
      <w:r w:rsidR="006362AD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6362AD" w:rsidRPr="00136A37">
        <w:rPr>
          <w:rFonts w:ascii="Verdana" w:hAnsi="Verdana"/>
          <w:sz w:val="20"/>
          <w:szCs w:val="20"/>
        </w:rPr>
        <w:t>тексту</w:t>
      </w:r>
      <w:proofErr w:type="spellEnd"/>
      <w:r w:rsidR="006362AD" w:rsidRPr="00136A37">
        <w:rPr>
          <w:rFonts w:ascii="Verdana" w:hAnsi="Verdana"/>
          <w:sz w:val="20"/>
          <w:szCs w:val="20"/>
        </w:rPr>
        <w:t xml:space="preserve">: </w:t>
      </w:r>
      <w:proofErr w:type="spellStart"/>
      <w:r w:rsidR="006362AD" w:rsidRPr="00136A37">
        <w:rPr>
          <w:rFonts w:ascii="Verdana" w:hAnsi="Verdana"/>
          <w:sz w:val="20"/>
          <w:szCs w:val="20"/>
        </w:rPr>
        <w:t>Отпад</w:t>
      </w:r>
      <w:proofErr w:type="spellEnd"/>
      <w:r w:rsidR="006362AD" w:rsidRPr="00136A37">
        <w:rPr>
          <w:rFonts w:ascii="Verdana" w:hAnsi="Verdana"/>
          <w:sz w:val="20"/>
          <w:szCs w:val="20"/>
        </w:rPr>
        <w:t>)</w:t>
      </w:r>
      <w:r w:rsidR="006362AD"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136A37">
        <w:rPr>
          <w:rFonts w:ascii="Verdana" w:hAnsi="Verdana"/>
          <w:sz w:val="20"/>
          <w:szCs w:val="20"/>
          <w:lang w:val="sr-Cyrl-RS"/>
        </w:rPr>
        <w:t>са дивљих депонија</w:t>
      </w:r>
      <w:r w:rsidR="007D49E9" w:rsidRPr="00136A37">
        <w:rPr>
          <w:rFonts w:ascii="Verdana" w:hAnsi="Verdana"/>
          <w:sz w:val="20"/>
          <w:szCs w:val="20"/>
          <w:lang w:val="sr-Cyrl-RS"/>
        </w:rPr>
        <w:t xml:space="preserve"> формираних на пољопривредном земљишту у јавној својини, </w:t>
      </w:r>
      <w:proofErr w:type="spellStart"/>
      <w:r w:rsidR="007305D9" w:rsidRPr="00136A37">
        <w:rPr>
          <w:rFonts w:ascii="Verdana" w:hAnsi="Verdana"/>
          <w:sz w:val="20"/>
          <w:szCs w:val="20"/>
        </w:rPr>
        <w:t>на</w:t>
      </w:r>
      <w:proofErr w:type="spellEnd"/>
      <w:r w:rsidR="007305D9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регистрованим</w:t>
      </w:r>
      <w:proofErr w:type="spellEnd"/>
      <w:r w:rsidR="007305D9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sz w:val="20"/>
          <w:szCs w:val="20"/>
        </w:rPr>
        <w:t>депонијама</w:t>
      </w:r>
      <w:proofErr w:type="spellEnd"/>
      <w:r w:rsidR="007D49E9" w:rsidRPr="00136A37">
        <w:rPr>
          <w:rFonts w:ascii="Verdana" w:hAnsi="Verdana"/>
          <w:sz w:val="20"/>
          <w:szCs w:val="20"/>
          <w:lang w:val="sr-Cyrl-RS"/>
        </w:rPr>
        <w:t xml:space="preserve"> или локалитетима, који су планским документом јединице локалне самоуправе намењени за одлагање</w:t>
      </w:r>
      <w:r w:rsidR="006362AD" w:rsidRPr="00136A37">
        <w:rPr>
          <w:rFonts w:ascii="Verdana" w:hAnsi="Verdana"/>
          <w:sz w:val="20"/>
          <w:szCs w:val="20"/>
          <w:lang w:val="sr-Cyrl-RS"/>
        </w:rPr>
        <w:t xml:space="preserve"> отпада.</w:t>
      </w:r>
    </w:p>
    <w:p w:rsidR="007305D9" w:rsidRPr="00136A37" w:rsidRDefault="000828A3" w:rsidP="007305D9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>Право на учешће</w:t>
      </w:r>
    </w:p>
    <w:p w:rsidR="007305D9" w:rsidRPr="00136A37" w:rsidRDefault="007305D9" w:rsidP="007305D9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4.</w:t>
      </w:r>
    </w:p>
    <w:p w:rsidR="007305D9" w:rsidRPr="00136A37" w:rsidRDefault="007305D9" w:rsidP="007305D9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Право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конкуришу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имају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јединице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локалне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самоуправе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(</w:t>
      </w:r>
      <w:proofErr w:type="spellStart"/>
      <w:r w:rsidRPr="00136A37">
        <w:rPr>
          <w:rFonts w:ascii="Verdana" w:hAnsi="Verdana"/>
          <w:sz w:val="20"/>
          <w:szCs w:val="20"/>
        </w:rPr>
        <w:t>градови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општине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) с </w:t>
      </w:r>
      <w:proofErr w:type="spellStart"/>
      <w:r w:rsidRPr="00136A37">
        <w:rPr>
          <w:rFonts w:ascii="Verdana" w:hAnsi="Verdana"/>
          <w:sz w:val="20"/>
          <w:szCs w:val="20"/>
        </w:rPr>
        <w:t>територије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136A37">
        <w:rPr>
          <w:rFonts w:ascii="Verdana" w:hAnsi="Verdana"/>
          <w:sz w:val="20"/>
          <w:szCs w:val="20"/>
        </w:rPr>
        <w:t xml:space="preserve">АП </w:t>
      </w:r>
      <w:proofErr w:type="spellStart"/>
      <w:r w:rsidRPr="00136A37">
        <w:rPr>
          <w:rFonts w:ascii="Verdana" w:hAnsi="Verdana"/>
          <w:sz w:val="20"/>
          <w:szCs w:val="20"/>
        </w:rPr>
        <w:t>Војводине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7305D9" w:rsidRPr="00136A37" w:rsidRDefault="007305D9" w:rsidP="000828A3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t>Услови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за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учешће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на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конкурсу</w:t>
      </w:r>
      <w:proofErr w:type="spellEnd"/>
    </w:p>
    <w:p w:rsidR="007305D9" w:rsidRPr="00136A37" w:rsidRDefault="007305D9" w:rsidP="000828A3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5.</w:t>
      </w:r>
    </w:p>
    <w:p w:rsidR="00A5567E" w:rsidRPr="00136A37" w:rsidRDefault="00A5567E" w:rsidP="000828A3">
      <w:pPr>
        <w:ind w:left="110" w:right="3"/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Из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поднете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разматраће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једино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парцеле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представљају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пољопривредно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земљиште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/>
          <w:sz w:val="20"/>
          <w:szCs w:val="20"/>
        </w:rPr>
        <w:t>јавној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својини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налазе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дивље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.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/>
          <w:sz w:val="20"/>
          <w:szCs w:val="20"/>
        </w:rPr>
        <w:t>којима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наводе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друге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врсте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друга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врста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власништва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неће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бити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разматране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односно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делимично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прихватати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самим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тим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опредељивити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прихватљиви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трошкови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A5567E" w:rsidRPr="00136A37" w:rsidRDefault="00A5567E" w:rsidP="007305D9">
      <w:pPr>
        <w:jc w:val="both"/>
        <w:rPr>
          <w:rFonts w:ascii="Verdana" w:hAnsi="Verdana"/>
          <w:sz w:val="20"/>
          <w:szCs w:val="20"/>
        </w:rPr>
      </w:pPr>
    </w:p>
    <w:p w:rsidR="007305D9" w:rsidRPr="00136A37" w:rsidRDefault="007305D9" w:rsidP="007305D9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t>Потребна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документација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којом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се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доказује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испуњеност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услова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за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учешће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на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конкурсу</w:t>
      </w:r>
      <w:proofErr w:type="spellEnd"/>
    </w:p>
    <w:p w:rsidR="007305D9" w:rsidRPr="00136A37" w:rsidRDefault="007305D9" w:rsidP="007305D9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6.</w:t>
      </w:r>
    </w:p>
    <w:p w:rsidR="004C1545" w:rsidRPr="00136A37" w:rsidRDefault="004C1545" w:rsidP="004C1545">
      <w:pPr>
        <w:jc w:val="both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Документација којом се доказује испуњеност услова за учешће на конкурсу:</w:t>
      </w:r>
    </w:p>
    <w:p w:rsidR="00CF1DE9" w:rsidRPr="00136A37" w:rsidRDefault="00CF1DE9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t>Образац пријаве</w:t>
      </w:r>
      <w:r w:rsidR="00C10163" w:rsidRPr="00136A37">
        <w:rPr>
          <w:rFonts w:ascii="Verdana" w:hAnsi="Verdana"/>
          <w:sz w:val="20"/>
          <w:szCs w:val="20"/>
          <w:lang w:val="sr-Cyrl-RS"/>
        </w:rPr>
        <w:t xml:space="preserve"> (преузима се са интернет странице Секретаријата)</w:t>
      </w:r>
    </w:p>
    <w:p w:rsidR="002435BC" w:rsidRPr="00136A37" w:rsidRDefault="002435BC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t>О</w:t>
      </w:r>
      <w:proofErr w:type="spellStart"/>
      <w:r w:rsidRPr="00136A37">
        <w:rPr>
          <w:rFonts w:ascii="Verdana" w:hAnsi="Verdana"/>
          <w:sz w:val="20"/>
          <w:szCs w:val="20"/>
        </w:rPr>
        <w:t>бавештење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депонији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одложити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Отпад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сакупљен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дивљих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. Обавештење </w:t>
      </w:r>
      <w:proofErr w:type="spellStart"/>
      <w:r w:rsidRPr="00136A37">
        <w:rPr>
          <w:rFonts w:ascii="Verdana" w:hAnsi="Verdana"/>
          <w:sz w:val="20"/>
          <w:szCs w:val="20"/>
        </w:rPr>
        <w:t>треба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садржи</w:t>
      </w:r>
      <w:proofErr w:type="spellEnd"/>
      <w:r w:rsidRPr="00136A37">
        <w:rPr>
          <w:rFonts w:ascii="Verdana" w:hAnsi="Verdana"/>
          <w:sz w:val="20"/>
          <w:szCs w:val="20"/>
        </w:rPr>
        <w:t xml:space="preserve">: </w:t>
      </w:r>
      <w:proofErr w:type="spellStart"/>
      <w:r w:rsidRPr="00136A37">
        <w:rPr>
          <w:rFonts w:ascii="Verdana" w:hAnsi="Verdana"/>
          <w:sz w:val="20"/>
          <w:szCs w:val="20"/>
        </w:rPr>
        <w:t>назив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катастарску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општину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број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катастарске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парцеле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налази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одложити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Отпад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уклоњен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дивљих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(у </w:t>
      </w:r>
      <w:proofErr w:type="spellStart"/>
      <w:r w:rsidRPr="00136A37">
        <w:rPr>
          <w:rFonts w:ascii="Verdana" w:hAnsi="Verdana"/>
          <w:sz w:val="20"/>
          <w:szCs w:val="20"/>
        </w:rPr>
        <w:t>даљем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тексту</w:t>
      </w:r>
      <w:proofErr w:type="spellEnd"/>
      <w:r w:rsidRPr="00136A37">
        <w:rPr>
          <w:rFonts w:ascii="Verdana" w:hAnsi="Verdana"/>
          <w:sz w:val="20"/>
          <w:szCs w:val="20"/>
        </w:rPr>
        <w:t xml:space="preserve">: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), </w:t>
      </w:r>
      <w:proofErr w:type="spellStart"/>
      <w:r w:rsidRPr="00136A37">
        <w:rPr>
          <w:rFonts w:ascii="Verdana" w:hAnsi="Verdana"/>
          <w:sz w:val="20"/>
          <w:szCs w:val="20"/>
        </w:rPr>
        <w:t>назив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адреса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правног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лица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управља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ће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одложити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отпад</w:t>
      </w:r>
      <w:proofErr w:type="spellEnd"/>
      <w:r w:rsidRPr="00136A37">
        <w:rPr>
          <w:rFonts w:ascii="Verdana" w:hAnsi="Verdana"/>
          <w:sz w:val="20"/>
          <w:szCs w:val="20"/>
        </w:rPr>
        <w:t>;</w:t>
      </w:r>
    </w:p>
    <w:p w:rsidR="002435BC" w:rsidRPr="00136A37" w:rsidRDefault="002435BC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t>К</w:t>
      </w:r>
      <w:proofErr w:type="spellStart"/>
      <w:r w:rsidRPr="00136A37">
        <w:rPr>
          <w:rFonts w:ascii="Verdana" w:hAnsi="Verdana"/>
          <w:sz w:val="20"/>
          <w:szCs w:val="20"/>
        </w:rPr>
        <w:t>опија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акта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донео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орган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локалне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самоуправе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покрајинск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>и</w:t>
      </w:r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орган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или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републичк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>и</w:t>
      </w:r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орган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извод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планског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документа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јединице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локалне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самоуправе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којег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види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предвиђена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одлагање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Отпада</w:t>
      </w:r>
      <w:proofErr w:type="spellEnd"/>
      <w:r w:rsidRPr="00136A37">
        <w:rPr>
          <w:rFonts w:ascii="Verdana" w:hAnsi="Verdana"/>
          <w:sz w:val="20"/>
          <w:szCs w:val="20"/>
        </w:rPr>
        <w:t>;</w:t>
      </w:r>
    </w:p>
    <w:p w:rsidR="002435BC" w:rsidRPr="00136A37" w:rsidRDefault="0057160E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t>з</w:t>
      </w:r>
      <w:proofErr w:type="spellStart"/>
      <w:r w:rsidR="002435BC" w:rsidRPr="00136A37">
        <w:rPr>
          <w:rFonts w:ascii="Verdana" w:hAnsi="Verdana"/>
          <w:sz w:val="20"/>
          <w:szCs w:val="20"/>
        </w:rPr>
        <w:t>аписник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r w:rsidRPr="00136A37">
        <w:rPr>
          <w:rFonts w:ascii="Verdana" w:hAnsi="Verdana"/>
          <w:sz w:val="20"/>
          <w:szCs w:val="20"/>
          <w:lang w:val="sr-Cyrl-RS"/>
        </w:rPr>
        <w:t>надлежног инспектора</w:t>
      </w:r>
      <w:r w:rsidR="002435BC"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="002435BC" w:rsidRPr="00136A37">
        <w:rPr>
          <w:rFonts w:ascii="Verdana" w:hAnsi="Verdana"/>
          <w:sz w:val="20"/>
          <w:szCs w:val="20"/>
        </w:rPr>
        <w:t>стању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утврђеном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лицу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места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којем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налази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свака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од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дивљих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предмет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уклањања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(</w:t>
      </w:r>
      <w:proofErr w:type="spellStart"/>
      <w:r w:rsidR="002435BC" w:rsidRPr="00136A37">
        <w:rPr>
          <w:rFonts w:ascii="Verdana" w:hAnsi="Verdana"/>
          <w:sz w:val="20"/>
          <w:szCs w:val="20"/>
        </w:rPr>
        <w:t>не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старији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од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дана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објављивања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овог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конкурса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)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којим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констатује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: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назив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или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назив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потеса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или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топонима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којем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налази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фотографију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дивље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констатацију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инспектора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реч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комуналном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неопасном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инертном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отпаду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назив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катастарске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општине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којој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налази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број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катастарске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парцеле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којој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се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налази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2435BC" w:rsidRPr="00136A37">
        <w:rPr>
          <w:rFonts w:ascii="Verdana" w:hAnsi="Verdana"/>
          <w:sz w:val="20"/>
          <w:szCs w:val="20"/>
        </w:rPr>
        <w:t>површина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земљишта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коју</w:t>
      </w:r>
      <w:proofErr w:type="spellEnd"/>
      <w:r w:rsidR="002435BC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заузима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у м2, </w:t>
      </w:r>
      <w:proofErr w:type="spellStart"/>
      <w:r w:rsidR="002435BC" w:rsidRPr="00136A37">
        <w:rPr>
          <w:rFonts w:ascii="Verdana" w:hAnsi="Verdana"/>
          <w:sz w:val="20"/>
          <w:szCs w:val="20"/>
        </w:rPr>
        <w:t>запремина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дивље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2435BC" w:rsidRPr="00136A37">
        <w:rPr>
          <w:rFonts w:ascii="Verdana" w:hAnsi="Verdana"/>
          <w:sz w:val="20"/>
          <w:szCs w:val="20"/>
        </w:rPr>
        <w:t>депоније</w:t>
      </w:r>
      <w:proofErr w:type="spellEnd"/>
      <w:r w:rsidR="002435BC" w:rsidRPr="00136A37">
        <w:rPr>
          <w:rFonts w:ascii="Verdana" w:hAnsi="Verdana"/>
          <w:sz w:val="20"/>
          <w:szCs w:val="20"/>
        </w:rPr>
        <w:t xml:space="preserve"> у м3;</w:t>
      </w:r>
    </w:p>
    <w:p w:rsidR="002435BC" w:rsidRPr="00136A37" w:rsidRDefault="002435BC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Табела</w:t>
      </w:r>
      <w:proofErr w:type="spellEnd"/>
      <w:r w:rsidRPr="00136A37">
        <w:rPr>
          <w:rFonts w:ascii="Verdana" w:hAnsi="Verdana"/>
          <w:sz w:val="20"/>
          <w:szCs w:val="20"/>
        </w:rPr>
        <w:t xml:space="preserve"> 1 – </w:t>
      </w:r>
      <w:proofErr w:type="spellStart"/>
      <w:r w:rsidRPr="00136A37">
        <w:rPr>
          <w:rFonts w:ascii="Verdana" w:hAnsi="Verdana"/>
          <w:sz w:val="20"/>
          <w:szCs w:val="20"/>
        </w:rPr>
        <w:t>преглед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дивљих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чије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уклањање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планира</w:t>
      </w:r>
      <w:proofErr w:type="spellEnd"/>
      <w:r w:rsidRPr="00136A37">
        <w:rPr>
          <w:rFonts w:ascii="Verdana" w:hAnsi="Verdana"/>
          <w:sz w:val="20"/>
          <w:szCs w:val="20"/>
        </w:rPr>
        <w:t xml:space="preserve">; </w:t>
      </w:r>
      <w:proofErr w:type="spellStart"/>
      <w:r w:rsidRPr="00136A37">
        <w:rPr>
          <w:rFonts w:ascii="Verdana" w:hAnsi="Verdana"/>
          <w:sz w:val="20"/>
          <w:szCs w:val="20"/>
        </w:rPr>
        <w:t>бланко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примерак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Табеле</w:t>
      </w:r>
      <w:proofErr w:type="spellEnd"/>
      <w:r w:rsidRPr="00136A37">
        <w:rPr>
          <w:rFonts w:ascii="Verdana" w:hAnsi="Verdana"/>
          <w:sz w:val="20"/>
          <w:szCs w:val="20"/>
        </w:rPr>
        <w:t xml:space="preserve"> 1 </w:t>
      </w:r>
      <w:proofErr w:type="spellStart"/>
      <w:r w:rsidRPr="00136A37">
        <w:rPr>
          <w:rFonts w:ascii="Verdana" w:hAnsi="Verdana"/>
          <w:sz w:val="20"/>
          <w:szCs w:val="20"/>
        </w:rPr>
        <w:t>преузима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интернет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странице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Секретаријата</w:t>
      </w:r>
      <w:proofErr w:type="spellEnd"/>
      <w:r w:rsidRPr="00136A37">
        <w:rPr>
          <w:rFonts w:ascii="Verdana" w:hAnsi="Verdana"/>
          <w:sz w:val="20"/>
          <w:szCs w:val="20"/>
        </w:rPr>
        <w:t>;</w:t>
      </w:r>
    </w:p>
    <w:p w:rsidR="002435BC" w:rsidRPr="00136A37" w:rsidRDefault="002435BC" w:rsidP="002435B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t>И</w:t>
      </w:r>
      <w:proofErr w:type="spellStart"/>
      <w:r w:rsidRPr="00136A37">
        <w:rPr>
          <w:rFonts w:ascii="Verdana" w:hAnsi="Verdana"/>
          <w:sz w:val="20"/>
          <w:szCs w:val="20"/>
        </w:rPr>
        <w:t>звод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катастра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којег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види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катастарска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парцела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налази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дивља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депонија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r w:rsidRPr="00136A37">
        <w:rPr>
          <w:rFonts w:ascii="Verdana" w:hAnsi="Verdana"/>
          <w:sz w:val="20"/>
          <w:szCs w:val="20"/>
          <w:lang w:val="sr-Cyrl-RS"/>
        </w:rPr>
        <w:t>јавној</w:t>
      </w:r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својини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/>
          <w:sz w:val="20"/>
          <w:szCs w:val="20"/>
        </w:rPr>
        <w:t>питању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пољопривредно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земљиште</w:t>
      </w:r>
      <w:proofErr w:type="spellEnd"/>
      <w:r w:rsidRPr="00136A37">
        <w:rPr>
          <w:rFonts w:ascii="Verdana" w:hAnsi="Verdana"/>
          <w:sz w:val="20"/>
          <w:szCs w:val="20"/>
        </w:rPr>
        <w:t>;</w:t>
      </w:r>
    </w:p>
    <w:p w:rsidR="002435BC" w:rsidRPr="00136A37" w:rsidRDefault="002435BC" w:rsidP="004C1545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36A37">
        <w:rPr>
          <w:rFonts w:ascii="Verdana" w:hAnsi="Verdana"/>
          <w:sz w:val="20"/>
          <w:szCs w:val="20"/>
          <w:lang w:val="sr-Cyrl-RS"/>
        </w:rPr>
        <w:lastRenderedPageBreak/>
        <w:t xml:space="preserve">Елаборат </w:t>
      </w:r>
      <w:r w:rsidR="009B3D46" w:rsidRPr="00136A37">
        <w:rPr>
          <w:rFonts w:ascii="Verdana" w:hAnsi="Verdana"/>
          <w:sz w:val="20"/>
          <w:szCs w:val="20"/>
          <w:lang w:val="sr-Cyrl-RS"/>
        </w:rPr>
        <w:t>са предмером и предрачуном</w:t>
      </w:r>
      <w:r w:rsidRPr="00136A37">
        <w:rPr>
          <w:rFonts w:ascii="Verdana" w:hAnsi="Verdana"/>
          <w:sz w:val="20"/>
          <w:szCs w:val="20"/>
          <w:lang w:val="sr-Cyrl-RS"/>
        </w:rPr>
        <w:t xml:space="preserve"> радова на уклањању дивљих депонија наведених у Табели 1, као и са процењеним количинама отпада. Елаборат сачињава  надлежно одељење локалне самоуправе или јавног комуналног предузећа. Процењена количина отпада треба да је усклађена са процењеном количином отпада констатованом у записнику комуналног инспектора или инспектора за заштиту животне средине. </w:t>
      </w:r>
    </w:p>
    <w:p w:rsidR="0057160E" w:rsidRPr="00741386" w:rsidRDefault="007305D9" w:rsidP="00741386">
      <w:pPr>
        <w:jc w:val="both"/>
        <w:rPr>
          <w:rFonts w:ascii="Verdana" w:hAnsi="Verdana"/>
          <w:sz w:val="20"/>
          <w:szCs w:val="20"/>
          <w:lang w:val="sr-Cyrl-RS"/>
        </w:rPr>
      </w:pPr>
      <w:proofErr w:type="spellStart"/>
      <w:r w:rsidRPr="00136A37">
        <w:rPr>
          <w:rFonts w:ascii="Verdana" w:hAnsi="Verdana"/>
          <w:sz w:val="20"/>
          <w:szCs w:val="20"/>
        </w:rPr>
        <w:t>Уколико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буде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потребно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Секретаријат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задржава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право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подносиоца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затражи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додатну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документацију</w:t>
      </w:r>
      <w:proofErr w:type="spellEnd"/>
      <w:r w:rsidR="002F3649" w:rsidRPr="00136A37">
        <w:rPr>
          <w:rFonts w:ascii="Verdana" w:hAnsi="Verdana"/>
          <w:sz w:val="20"/>
          <w:szCs w:val="20"/>
          <w:lang w:val="sr-Cyrl-RS"/>
        </w:rPr>
        <w:t>.</w:t>
      </w:r>
    </w:p>
    <w:p w:rsidR="0057160E" w:rsidRPr="00136A37" w:rsidRDefault="0057160E" w:rsidP="0057160E">
      <w:pPr>
        <w:widowControl w:val="0"/>
        <w:autoSpaceDE w:val="0"/>
        <w:autoSpaceDN w:val="0"/>
        <w:adjustRightInd w:val="0"/>
        <w:ind w:right="-46"/>
        <w:jc w:val="center"/>
        <w:rPr>
          <w:rFonts w:ascii="Verdana" w:eastAsia="Times New Roman" w:hAnsi="Verdana"/>
          <w:b/>
          <w:sz w:val="20"/>
          <w:szCs w:val="20"/>
          <w:lang w:val="sr-Cyrl-RS" w:eastAsia="en-GB"/>
        </w:rPr>
      </w:pPr>
      <w:r w:rsidRPr="00136A37">
        <w:rPr>
          <w:rFonts w:ascii="Verdana" w:eastAsia="Times New Roman" w:hAnsi="Verdana"/>
          <w:b/>
          <w:sz w:val="20"/>
          <w:szCs w:val="20"/>
          <w:lang w:val="sr-Cyrl-RS" w:eastAsia="en-GB"/>
        </w:rPr>
        <w:t>Начин подношења пријаве</w:t>
      </w:r>
    </w:p>
    <w:p w:rsidR="00315623" w:rsidRPr="00136A37" w:rsidRDefault="00B61372" w:rsidP="0057160E">
      <w:pPr>
        <w:widowControl w:val="0"/>
        <w:autoSpaceDE w:val="0"/>
        <w:autoSpaceDN w:val="0"/>
        <w:adjustRightInd w:val="0"/>
        <w:ind w:right="-46"/>
        <w:jc w:val="center"/>
        <w:rPr>
          <w:rFonts w:ascii="Verdana" w:eastAsia="Times New Roman" w:hAnsi="Verdana"/>
          <w:b/>
          <w:sz w:val="20"/>
          <w:szCs w:val="20"/>
          <w:lang w:val="sr-Cyrl-RS" w:eastAsia="en-GB"/>
        </w:rPr>
      </w:pPr>
      <w:proofErr w:type="spellStart"/>
      <w:r>
        <w:rPr>
          <w:rFonts w:ascii="Verdana" w:hAnsi="Verdana"/>
          <w:sz w:val="20"/>
          <w:szCs w:val="20"/>
        </w:rPr>
        <w:t>Члан</w:t>
      </w:r>
      <w:proofErr w:type="spellEnd"/>
      <w:r>
        <w:rPr>
          <w:rFonts w:ascii="Verdana" w:hAnsi="Verdana"/>
          <w:sz w:val="20"/>
          <w:szCs w:val="20"/>
        </w:rPr>
        <w:t xml:space="preserve"> 7</w:t>
      </w:r>
      <w:r w:rsidR="00315623" w:rsidRPr="00136A37">
        <w:rPr>
          <w:rFonts w:ascii="Verdana" w:hAnsi="Verdana"/>
          <w:sz w:val="20"/>
          <w:szCs w:val="20"/>
        </w:rPr>
        <w:t>.</w:t>
      </w:r>
    </w:p>
    <w:p w:rsidR="0057160E" w:rsidRPr="00136A37" w:rsidRDefault="0057160E" w:rsidP="0057160E">
      <w:pPr>
        <w:jc w:val="both"/>
        <w:rPr>
          <w:rFonts w:ascii="Verdana" w:hAnsi="Verdana" w:cs="Verdana"/>
          <w:sz w:val="20"/>
          <w:szCs w:val="20"/>
          <w:lang w:val="sr-Cyrl-RS"/>
        </w:rPr>
      </w:pPr>
      <w:r w:rsidRPr="00136A37">
        <w:rPr>
          <w:rFonts w:ascii="Verdana" w:hAnsi="Verdana" w:cs="Verdana"/>
          <w:sz w:val="20"/>
          <w:szCs w:val="20"/>
          <w:lang w:val="sr-Cyrl-RS"/>
        </w:rPr>
        <w:t xml:space="preserve">Пријава на конкурс врши се електронским путем преко дигиталне платформе </w:t>
      </w:r>
      <w:r w:rsidRPr="00136A37">
        <w:rPr>
          <w:rFonts w:ascii="Verdana" w:hAnsi="Verdana" w:cs="Verdana"/>
          <w:b/>
          <w:sz w:val="20"/>
          <w:szCs w:val="20"/>
          <w:lang w:val="sr-Cyrl-RS"/>
        </w:rPr>
        <w:t>АгроСенс АПВ</w:t>
      </w:r>
      <w:r w:rsidRPr="00136A37">
        <w:rPr>
          <w:rFonts w:ascii="Verdana" w:hAnsi="Verdana" w:cs="Verdana"/>
          <w:sz w:val="20"/>
          <w:szCs w:val="20"/>
          <w:lang w:val="sr-Cyrl-RS"/>
        </w:rPr>
        <w:t>.</w:t>
      </w:r>
    </w:p>
    <w:p w:rsidR="0057160E" w:rsidRPr="00136A37" w:rsidRDefault="0057160E" w:rsidP="0057160E">
      <w:pPr>
        <w:ind w:right="485"/>
        <w:rPr>
          <w:rFonts w:ascii="Verdana" w:hAnsi="Verdana"/>
          <w:sz w:val="20"/>
          <w:szCs w:val="20"/>
          <w:lang w:val="sr-Cyrl-CS"/>
        </w:rPr>
      </w:pPr>
      <w:r w:rsidRPr="00E93B45">
        <w:rPr>
          <w:rFonts w:ascii="Verdana" w:hAnsi="Verdana"/>
          <w:sz w:val="20"/>
          <w:szCs w:val="20"/>
          <w:lang w:val="sr-Cyrl-CS"/>
        </w:rPr>
        <w:t xml:space="preserve">Пријаве на конкурс подносе закључно са </w:t>
      </w:r>
      <w:r w:rsidR="00315623" w:rsidRPr="00E93B45">
        <w:rPr>
          <w:rFonts w:ascii="Verdana" w:hAnsi="Verdana"/>
          <w:sz w:val="20"/>
          <w:szCs w:val="20"/>
          <w:lang w:val="sr-Latn-RS"/>
        </w:rPr>
        <w:t>06</w:t>
      </w:r>
      <w:r w:rsidR="00315623" w:rsidRPr="00E93B45">
        <w:rPr>
          <w:rFonts w:ascii="Verdana" w:hAnsi="Verdana"/>
          <w:sz w:val="20"/>
          <w:szCs w:val="20"/>
          <w:lang w:val="en-US"/>
        </w:rPr>
        <w:t>.10</w:t>
      </w:r>
      <w:r w:rsidRPr="00E93B45">
        <w:rPr>
          <w:rFonts w:ascii="Verdana" w:hAnsi="Verdana"/>
          <w:sz w:val="20"/>
          <w:szCs w:val="20"/>
          <w:lang w:val="en-US"/>
        </w:rPr>
        <w:t>.202</w:t>
      </w:r>
      <w:r w:rsidRPr="00E93B45">
        <w:rPr>
          <w:rFonts w:ascii="Verdana" w:hAnsi="Verdana"/>
          <w:sz w:val="20"/>
          <w:szCs w:val="20"/>
          <w:lang w:val="sr-Cyrl-RS"/>
        </w:rPr>
        <w:t>3</w:t>
      </w:r>
      <w:r w:rsidRPr="00E93B45">
        <w:rPr>
          <w:rFonts w:ascii="Verdana" w:hAnsi="Verdana"/>
          <w:sz w:val="20"/>
          <w:szCs w:val="20"/>
          <w:lang w:val="sr-Cyrl-CS"/>
        </w:rPr>
        <w:t>. године.</w:t>
      </w:r>
      <w:r w:rsidRPr="00136A37">
        <w:rPr>
          <w:rFonts w:ascii="Verdana" w:hAnsi="Verdana"/>
          <w:sz w:val="20"/>
          <w:szCs w:val="20"/>
          <w:lang w:val="sr-Cyrl-CS"/>
        </w:rPr>
        <w:t xml:space="preserve">  </w:t>
      </w:r>
    </w:p>
    <w:p w:rsidR="00842BCC" w:rsidRPr="00136A37" w:rsidRDefault="00842BCC" w:rsidP="00842BCC">
      <w:pPr>
        <w:spacing w:after="0" w:line="240" w:lineRule="auto"/>
        <w:ind w:left="2939" w:right="-20"/>
        <w:jc w:val="both"/>
        <w:rPr>
          <w:rFonts w:ascii="Verdana" w:eastAsia="Times New Roman" w:hAnsi="Verdana" w:cs="Times New Roman"/>
          <w:b/>
          <w:color w:val="000000"/>
          <w:w w:val="115"/>
          <w:sz w:val="20"/>
          <w:szCs w:val="20"/>
        </w:rPr>
      </w:pPr>
      <w:proofErr w:type="spellStart"/>
      <w:r w:rsidRPr="00136A37">
        <w:rPr>
          <w:rFonts w:ascii="Verdana" w:eastAsia="Times New Roman" w:hAnsi="Verdana" w:cs="Times New Roman"/>
          <w:b/>
          <w:color w:val="000000"/>
          <w:w w:val="90"/>
          <w:sz w:val="20"/>
          <w:szCs w:val="20"/>
        </w:rPr>
        <w:t>П</w:t>
      </w:r>
      <w:r w:rsidRPr="00136A37">
        <w:rPr>
          <w:rFonts w:ascii="Verdana" w:eastAsia="Times New Roman" w:hAnsi="Verdana" w:cs="Times New Roman"/>
          <w:b/>
          <w:color w:val="000000"/>
          <w:w w:val="112"/>
          <w:sz w:val="20"/>
          <w:szCs w:val="20"/>
        </w:rPr>
        <w:t>о</w:t>
      </w:r>
      <w:r w:rsidRPr="00136A37">
        <w:rPr>
          <w:rFonts w:ascii="Verdana" w:eastAsia="Times New Roman" w:hAnsi="Verdana" w:cs="Times New Roman"/>
          <w:b/>
          <w:color w:val="000000"/>
          <w:w w:val="98"/>
          <w:sz w:val="20"/>
          <w:szCs w:val="20"/>
        </w:rPr>
        <w:t>с</w:t>
      </w:r>
      <w:r w:rsidRPr="00136A37">
        <w:rPr>
          <w:rFonts w:ascii="Verdana" w:eastAsia="Times New Roman" w:hAnsi="Verdana" w:cs="Times New Roman"/>
          <w:b/>
          <w:color w:val="000000"/>
          <w:w w:val="92"/>
          <w:sz w:val="20"/>
          <w:szCs w:val="20"/>
        </w:rPr>
        <w:t>т</w:t>
      </w:r>
      <w:r w:rsidRPr="00136A37">
        <w:rPr>
          <w:rFonts w:ascii="Verdana" w:eastAsia="Times New Roman" w:hAnsi="Verdana" w:cs="Times New Roman"/>
          <w:b/>
          <w:color w:val="000000"/>
          <w:spacing w:val="-1"/>
          <w:w w:val="98"/>
          <w:sz w:val="20"/>
          <w:szCs w:val="20"/>
        </w:rPr>
        <w:t>у</w:t>
      </w:r>
      <w:r w:rsidRPr="00136A37">
        <w:rPr>
          <w:rFonts w:ascii="Verdana" w:eastAsia="Times New Roman" w:hAnsi="Verdana" w:cs="Times New Roman"/>
          <w:b/>
          <w:color w:val="000000"/>
          <w:spacing w:val="2"/>
          <w:w w:val="104"/>
          <w:sz w:val="20"/>
          <w:szCs w:val="20"/>
        </w:rPr>
        <w:t>п</w:t>
      </w:r>
      <w:r w:rsidRPr="00136A37">
        <w:rPr>
          <w:rFonts w:ascii="Verdana" w:eastAsia="Times New Roman" w:hAnsi="Verdana" w:cs="Times New Roman"/>
          <w:b/>
          <w:color w:val="000000"/>
          <w:w w:val="115"/>
          <w:sz w:val="20"/>
          <w:szCs w:val="20"/>
        </w:rPr>
        <w:t>а</w:t>
      </w:r>
      <w:proofErr w:type="spellEnd"/>
      <w:r w:rsidRPr="00136A37">
        <w:rPr>
          <w:rFonts w:ascii="Verdana" w:eastAsia="Times New Roman" w:hAnsi="Verdana" w:cs="Times New Roman"/>
          <w:b/>
          <w:color w:val="000000"/>
          <w:spacing w:val="3"/>
          <w:w w:val="114"/>
          <w:sz w:val="20"/>
          <w:szCs w:val="20"/>
          <w:lang w:val="sr-Cyrl-RS"/>
        </w:rPr>
        <w:t>њ</w:t>
      </w:r>
      <w:r w:rsidRPr="00136A37">
        <w:rPr>
          <w:rFonts w:ascii="Verdana" w:eastAsia="Times New Roman" w:hAnsi="Verdana" w:cs="Times New Roman"/>
          <w:b/>
          <w:color w:val="000000"/>
          <w:w w:val="118"/>
          <w:sz w:val="20"/>
          <w:szCs w:val="20"/>
        </w:rPr>
        <w:t>е</w:t>
      </w:r>
      <w:r w:rsidRPr="00136A37">
        <w:rPr>
          <w:rFonts w:ascii="Verdana" w:eastAsia="Times New Roman" w:hAnsi="Verdana" w:cs="Times New Roman"/>
          <w:b/>
          <w:color w:val="000000"/>
          <w:spacing w:val="-3"/>
          <w:sz w:val="20"/>
          <w:szCs w:val="20"/>
        </w:rPr>
        <w:t xml:space="preserve"> </w:t>
      </w:r>
      <w:r w:rsidRPr="00136A37">
        <w:rPr>
          <w:rFonts w:ascii="Verdana" w:eastAsia="Times New Roman" w:hAnsi="Verdana" w:cs="Times New Roman"/>
          <w:b/>
          <w:color w:val="000000"/>
          <w:w w:val="98"/>
          <w:sz w:val="20"/>
          <w:szCs w:val="20"/>
        </w:rPr>
        <w:t>с</w:t>
      </w:r>
      <w:r w:rsidR="00315623" w:rsidRPr="00136A37">
        <w:rPr>
          <w:rFonts w:ascii="Verdana" w:eastAsia="Times New Roman" w:hAnsi="Verdana" w:cs="Times New Roman"/>
          <w:b/>
          <w:color w:val="000000"/>
          <w:w w:val="98"/>
          <w:sz w:val="20"/>
          <w:szCs w:val="20"/>
          <w:lang w:val="sr-Cyrl-RS"/>
        </w:rPr>
        <w:t>а</w:t>
      </w:r>
      <w:r w:rsidRPr="00136A37">
        <w:rPr>
          <w:rFonts w:ascii="Verdana" w:eastAsia="Times New Roman" w:hAnsi="Verdana" w:cs="Times New Roman"/>
          <w:b/>
          <w:color w:val="000000"/>
          <w:spacing w:val="-3"/>
          <w:sz w:val="20"/>
          <w:szCs w:val="20"/>
        </w:rPr>
        <w:t xml:space="preserve"> </w:t>
      </w:r>
      <w:proofErr w:type="spellStart"/>
      <w:r w:rsidRPr="00136A37">
        <w:rPr>
          <w:rFonts w:ascii="Verdana" w:eastAsia="Times New Roman" w:hAnsi="Verdana" w:cs="Times New Roman"/>
          <w:b/>
          <w:color w:val="000000"/>
          <w:spacing w:val="3"/>
          <w:w w:val="106"/>
          <w:sz w:val="20"/>
          <w:szCs w:val="20"/>
        </w:rPr>
        <w:t>н</w:t>
      </w:r>
      <w:r w:rsidRPr="00136A37">
        <w:rPr>
          <w:rFonts w:ascii="Verdana" w:eastAsia="Times New Roman" w:hAnsi="Verdana" w:cs="Times New Roman"/>
          <w:b/>
          <w:color w:val="000000"/>
          <w:spacing w:val="-1"/>
          <w:w w:val="118"/>
          <w:sz w:val="20"/>
          <w:szCs w:val="20"/>
        </w:rPr>
        <w:t>е</w:t>
      </w:r>
      <w:r w:rsidRPr="00136A37">
        <w:rPr>
          <w:rFonts w:ascii="Verdana" w:eastAsia="Times New Roman" w:hAnsi="Verdana" w:cs="Times New Roman"/>
          <w:b/>
          <w:color w:val="000000"/>
          <w:spacing w:val="2"/>
          <w:w w:val="104"/>
          <w:sz w:val="20"/>
          <w:szCs w:val="20"/>
        </w:rPr>
        <w:t>п</w:t>
      </w:r>
      <w:r w:rsidRPr="00136A37">
        <w:rPr>
          <w:rFonts w:ascii="Verdana" w:eastAsia="Times New Roman" w:hAnsi="Verdana" w:cs="Times New Roman"/>
          <w:b/>
          <w:color w:val="000000"/>
          <w:w w:val="112"/>
          <w:sz w:val="20"/>
          <w:szCs w:val="20"/>
        </w:rPr>
        <w:t>о</w:t>
      </w:r>
      <w:r w:rsidRPr="00136A37">
        <w:rPr>
          <w:rFonts w:ascii="Verdana" w:eastAsia="Times New Roman" w:hAnsi="Verdana" w:cs="Times New Roman"/>
          <w:b/>
          <w:color w:val="000000"/>
          <w:w w:val="92"/>
          <w:sz w:val="20"/>
          <w:szCs w:val="20"/>
        </w:rPr>
        <w:t>т</w:t>
      </w:r>
      <w:r w:rsidRPr="00136A37">
        <w:rPr>
          <w:rFonts w:ascii="Verdana" w:eastAsia="Times New Roman" w:hAnsi="Verdana" w:cs="Times New Roman"/>
          <w:b/>
          <w:color w:val="000000"/>
          <w:w w:val="104"/>
          <w:sz w:val="20"/>
          <w:szCs w:val="20"/>
        </w:rPr>
        <w:t>п</w:t>
      </w:r>
      <w:r w:rsidRPr="00136A37">
        <w:rPr>
          <w:rFonts w:ascii="Verdana" w:eastAsia="Times New Roman" w:hAnsi="Verdana" w:cs="Times New Roman"/>
          <w:b/>
          <w:color w:val="000000"/>
          <w:spacing w:val="1"/>
          <w:w w:val="98"/>
          <w:sz w:val="20"/>
          <w:szCs w:val="20"/>
        </w:rPr>
        <w:t>у</w:t>
      </w:r>
      <w:r w:rsidRPr="00136A37">
        <w:rPr>
          <w:rFonts w:ascii="Verdana" w:eastAsia="Times New Roman" w:hAnsi="Verdana" w:cs="Times New Roman"/>
          <w:b/>
          <w:color w:val="000000"/>
          <w:w w:val="106"/>
          <w:sz w:val="20"/>
          <w:szCs w:val="20"/>
        </w:rPr>
        <w:t>н</w:t>
      </w:r>
      <w:r w:rsidRPr="00136A37">
        <w:rPr>
          <w:rFonts w:ascii="Verdana" w:eastAsia="Times New Roman" w:hAnsi="Verdana" w:cs="Times New Roman"/>
          <w:b/>
          <w:color w:val="000000"/>
          <w:w w:val="108"/>
          <w:sz w:val="20"/>
          <w:szCs w:val="20"/>
        </w:rPr>
        <w:t>и</w:t>
      </w:r>
      <w:r w:rsidRPr="00136A37">
        <w:rPr>
          <w:rFonts w:ascii="Verdana" w:eastAsia="Times New Roman" w:hAnsi="Verdana" w:cs="Times New Roman"/>
          <w:b/>
          <w:color w:val="000000"/>
          <w:w w:val="117"/>
          <w:sz w:val="20"/>
          <w:szCs w:val="20"/>
        </w:rPr>
        <w:t>м</w:t>
      </w:r>
      <w:proofErr w:type="spellEnd"/>
      <w:r w:rsidRPr="00136A3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Pr="00136A37">
        <w:rPr>
          <w:rFonts w:ascii="Verdana" w:eastAsia="Times New Roman" w:hAnsi="Verdana" w:cs="Times New Roman"/>
          <w:b/>
          <w:color w:val="000000"/>
          <w:spacing w:val="3"/>
          <w:w w:val="104"/>
          <w:sz w:val="20"/>
          <w:szCs w:val="20"/>
        </w:rPr>
        <w:t>п</w:t>
      </w:r>
      <w:r w:rsidRPr="00136A37">
        <w:rPr>
          <w:rFonts w:ascii="Verdana" w:eastAsia="Times New Roman" w:hAnsi="Verdana" w:cs="Times New Roman"/>
          <w:b/>
          <w:color w:val="000000"/>
          <w:spacing w:val="-2"/>
          <w:w w:val="111"/>
          <w:sz w:val="20"/>
          <w:szCs w:val="20"/>
        </w:rPr>
        <w:t>р</w:t>
      </w:r>
      <w:r w:rsidRPr="00136A37">
        <w:rPr>
          <w:rFonts w:ascii="Verdana" w:eastAsia="Times New Roman" w:hAnsi="Verdana" w:cs="Times New Roman"/>
          <w:b/>
          <w:color w:val="000000"/>
          <w:spacing w:val="-1"/>
          <w:w w:val="108"/>
          <w:sz w:val="20"/>
          <w:szCs w:val="20"/>
        </w:rPr>
        <w:t>и</w:t>
      </w:r>
      <w:r w:rsidRPr="00136A37">
        <w:rPr>
          <w:rFonts w:ascii="Verdana" w:eastAsia="Times New Roman" w:hAnsi="Verdana" w:cs="Times New Roman"/>
          <w:b/>
          <w:color w:val="000000"/>
          <w:w w:val="95"/>
          <w:sz w:val="20"/>
          <w:szCs w:val="20"/>
        </w:rPr>
        <w:t>ј</w:t>
      </w:r>
      <w:r w:rsidRPr="00136A37">
        <w:rPr>
          <w:rFonts w:ascii="Verdana" w:eastAsia="Times New Roman" w:hAnsi="Verdana" w:cs="Times New Roman"/>
          <w:b/>
          <w:color w:val="000000"/>
          <w:spacing w:val="2"/>
          <w:w w:val="115"/>
          <w:sz w:val="20"/>
          <w:szCs w:val="20"/>
        </w:rPr>
        <w:t>а</w:t>
      </w:r>
      <w:r w:rsidRPr="00136A37">
        <w:rPr>
          <w:rFonts w:ascii="Verdana" w:eastAsia="Times New Roman" w:hAnsi="Verdana" w:cs="Times New Roman"/>
          <w:b/>
          <w:color w:val="000000"/>
          <w:spacing w:val="-1"/>
          <w:w w:val="109"/>
          <w:sz w:val="20"/>
          <w:szCs w:val="20"/>
        </w:rPr>
        <w:t>в</w:t>
      </w:r>
      <w:r w:rsidRPr="00136A37">
        <w:rPr>
          <w:rFonts w:ascii="Verdana" w:eastAsia="Times New Roman" w:hAnsi="Verdana" w:cs="Times New Roman"/>
          <w:b/>
          <w:color w:val="000000"/>
          <w:spacing w:val="2"/>
          <w:w w:val="115"/>
          <w:sz w:val="20"/>
          <w:szCs w:val="20"/>
        </w:rPr>
        <w:t>а</w:t>
      </w:r>
      <w:r w:rsidRPr="00136A37">
        <w:rPr>
          <w:rFonts w:ascii="Verdana" w:eastAsia="Times New Roman" w:hAnsi="Verdana" w:cs="Times New Roman"/>
          <w:b/>
          <w:color w:val="000000"/>
          <w:w w:val="117"/>
          <w:sz w:val="20"/>
          <w:szCs w:val="20"/>
        </w:rPr>
        <w:t>м</w:t>
      </w:r>
      <w:r w:rsidRPr="00136A37">
        <w:rPr>
          <w:rFonts w:ascii="Verdana" w:eastAsia="Times New Roman" w:hAnsi="Verdana" w:cs="Times New Roman"/>
          <w:b/>
          <w:color w:val="000000"/>
          <w:w w:val="115"/>
          <w:sz w:val="20"/>
          <w:szCs w:val="20"/>
        </w:rPr>
        <w:t>а</w:t>
      </w:r>
      <w:proofErr w:type="spellEnd"/>
    </w:p>
    <w:p w:rsidR="00842BCC" w:rsidRPr="00136A37" w:rsidRDefault="00842BCC" w:rsidP="00842BCC">
      <w:pPr>
        <w:spacing w:after="0" w:line="240" w:lineRule="auto"/>
        <w:ind w:left="2939" w:right="-20"/>
        <w:jc w:val="both"/>
        <w:rPr>
          <w:rFonts w:ascii="Verdana" w:eastAsia="Times New Roman" w:hAnsi="Verdana" w:cs="Times New Roman"/>
          <w:b/>
          <w:color w:val="000000"/>
          <w:w w:val="115"/>
          <w:sz w:val="20"/>
          <w:szCs w:val="20"/>
        </w:rPr>
      </w:pPr>
    </w:p>
    <w:p w:rsidR="00315623" w:rsidRPr="00136A37" w:rsidRDefault="00315623" w:rsidP="001E3AC8">
      <w:pPr>
        <w:jc w:val="center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Члан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r w:rsidR="00B61372">
        <w:rPr>
          <w:rFonts w:ascii="Verdana" w:hAnsi="Verdana"/>
          <w:sz w:val="20"/>
          <w:szCs w:val="20"/>
          <w:lang w:val="sr-Cyrl-RS"/>
        </w:rPr>
        <w:t>8</w:t>
      </w:r>
      <w:r w:rsidRPr="00136A37">
        <w:rPr>
          <w:rFonts w:ascii="Verdana" w:hAnsi="Verdana"/>
          <w:sz w:val="20"/>
          <w:szCs w:val="20"/>
        </w:rPr>
        <w:t>.</w:t>
      </w:r>
    </w:p>
    <w:p w:rsidR="00842BCC" w:rsidRPr="00136A37" w:rsidRDefault="00842BCC" w:rsidP="00D853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sr-Cyrl-RS"/>
        </w:rPr>
      </w:pPr>
      <w:r w:rsidRPr="00136A37">
        <w:rPr>
          <w:rFonts w:ascii="Verdana" w:eastAsia="Times New Roman" w:hAnsi="Verdana" w:cs="Verdana"/>
          <w:sz w:val="20"/>
          <w:szCs w:val="20"/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:rsidR="00842BCC" w:rsidRPr="00136A37" w:rsidRDefault="00842BCC" w:rsidP="00842BCC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sr-Cyrl-RS"/>
        </w:rPr>
      </w:pPr>
      <w:r w:rsidRPr="00136A37">
        <w:rPr>
          <w:rFonts w:ascii="Verdana" w:eastAsia="Times New Roman" w:hAnsi="Verdana" w:cs="Verdana"/>
          <w:sz w:val="20"/>
          <w:szCs w:val="20"/>
          <w:lang w:val="sr-Cyrl-R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:rsidR="00842BCC" w:rsidRPr="00136A37" w:rsidRDefault="00842BCC" w:rsidP="00842BCC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sr-Cyrl-RS"/>
        </w:rPr>
      </w:pPr>
      <w:r w:rsidRPr="00136A37">
        <w:rPr>
          <w:rFonts w:ascii="Verdana" w:eastAsia="Times New Roman" w:hAnsi="Verdana" w:cs="Verdana"/>
          <w:sz w:val="20"/>
          <w:szCs w:val="20"/>
          <w:lang w:val="sr-Cyrl-R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4C1545" w:rsidRPr="00136A37" w:rsidRDefault="004C1545" w:rsidP="00315623">
      <w:pPr>
        <w:rPr>
          <w:rFonts w:ascii="Verdana" w:hAnsi="Verdana"/>
          <w:b/>
          <w:sz w:val="20"/>
          <w:szCs w:val="20"/>
        </w:rPr>
      </w:pPr>
    </w:p>
    <w:p w:rsidR="007305D9" w:rsidRPr="00136A37" w:rsidRDefault="007305D9" w:rsidP="007305D9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t>Критеријуми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за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оцену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пријава</w:t>
      </w:r>
      <w:proofErr w:type="spellEnd"/>
    </w:p>
    <w:p w:rsidR="007305D9" w:rsidRPr="00136A37" w:rsidRDefault="007305D9" w:rsidP="00D8536C">
      <w:pPr>
        <w:spacing w:after="0" w:line="240" w:lineRule="auto"/>
        <w:jc w:val="center"/>
        <w:rPr>
          <w:rFonts w:ascii="Verdana" w:hAnsi="Verdana"/>
          <w:sz w:val="20"/>
          <w:szCs w:val="20"/>
          <w:lang w:val="sr-Cyrl-RS"/>
        </w:rPr>
      </w:pPr>
      <w:proofErr w:type="spellStart"/>
      <w:r w:rsidRPr="00136A37">
        <w:rPr>
          <w:rFonts w:ascii="Verdana" w:hAnsi="Verdana"/>
          <w:sz w:val="20"/>
          <w:szCs w:val="20"/>
        </w:rPr>
        <w:t>Чла</w:t>
      </w:r>
      <w:r w:rsidR="00B61372">
        <w:rPr>
          <w:rFonts w:ascii="Verdana" w:hAnsi="Verdana"/>
          <w:sz w:val="20"/>
          <w:szCs w:val="20"/>
        </w:rPr>
        <w:t>н</w:t>
      </w:r>
      <w:proofErr w:type="spellEnd"/>
      <w:r w:rsidR="00B61372">
        <w:rPr>
          <w:rFonts w:ascii="Verdana" w:hAnsi="Verdana"/>
          <w:sz w:val="20"/>
          <w:szCs w:val="20"/>
        </w:rPr>
        <w:t xml:space="preserve"> 9</w:t>
      </w:r>
      <w:r w:rsidRPr="00136A37">
        <w:rPr>
          <w:rFonts w:ascii="Verdana" w:hAnsi="Verdana"/>
          <w:sz w:val="20"/>
          <w:szCs w:val="20"/>
        </w:rPr>
        <w:t>.</w:t>
      </w:r>
    </w:p>
    <w:p w:rsidR="00D8536C" w:rsidRPr="00136A37" w:rsidRDefault="00D8536C" w:rsidP="00D8536C">
      <w:pPr>
        <w:spacing w:after="0" w:line="240" w:lineRule="auto"/>
        <w:ind w:firstLineChars="327" w:firstLine="654"/>
        <w:rPr>
          <w:rFonts w:ascii="Verdana" w:hAnsi="Verdana"/>
          <w:bCs/>
          <w:sz w:val="20"/>
          <w:szCs w:val="20"/>
          <w:lang w:val="sr-Cyrl-RS"/>
        </w:rPr>
      </w:pPr>
      <w:r w:rsidRPr="00136A37">
        <w:rPr>
          <w:rFonts w:ascii="Verdana" w:hAnsi="Verdana"/>
          <w:bCs/>
          <w:sz w:val="20"/>
          <w:szCs w:val="20"/>
          <w:lang w:val="sr-Cyrl-CS"/>
        </w:rPr>
        <w:t>Критеријуми за оцену пријава</w:t>
      </w:r>
      <w:r w:rsidRPr="00136A37">
        <w:rPr>
          <w:rFonts w:ascii="Verdana" w:hAnsi="Verdana"/>
          <w:bCs/>
          <w:sz w:val="20"/>
          <w:szCs w:val="20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111"/>
        <w:gridCol w:w="1067"/>
      </w:tblGrid>
      <w:tr w:rsidR="00D8536C" w:rsidRPr="00136A37" w:rsidTr="00581CC1">
        <w:trPr>
          <w:jc w:val="center"/>
        </w:trPr>
        <w:tc>
          <w:tcPr>
            <w:tcW w:w="3964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  <w:t>Критеријуми</w:t>
            </w:r>
          </w:p>
        </w:tc>
        <w:tc>
          <w:tcPr>
            <w:tcW w:w="4111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  <w:t>Начин бодовања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D8536C" w:rsidRPr="00136A37" w:rsidTr="00581CC1">
        <w:trPr>
          <w:jc w:val="center"/>
        </w:trPr>
        <w:tc>
          <w:tcPr>
            <w:tcW w:w="8075" w:type="dxa"/>
            <w:gridSpan w:val="2"/>
          </w:tcPr>
          <w:p w:rsidR="00D8536C" w:rsidRPr="00136A37" w:rsidRDefault="00D8536C" w:rsidP="00581CC1">
            <w:pPr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  <w:t>Укупан број бодова</w:t>
            </w:r>
          </w:p>
        </w:tc>
        <w:tc>
          <w:tcPr>
            <w:tcW w:w="1067" w:type="dxa"/>
          </w:tcPr>
          <w:p w:rsidR="00D8536C" w:rsidRPr="00136A37" w:rsidRDefault="008773AF" w:rsidP="008773A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 w:val="restart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Број насељених места на територији</w:t>
            </w: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локалне самоуправе</w:t>
            </w: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≤ 4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5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5-9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10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≥ 10</w:t>
            </w:r>
          </w:p>
        </w:tc>
        <w:tc>
          <w:tcPr>
            <w:tcW w:w="1067" w:type="dxa"/>
          </w:tcPr>
          <w:p w:rsidR="00D8536C" w:rsidRPr="00136A37" w:rsidRDefault="00143B3E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en-US"/>
              </w:rPr>
              <w:t>15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 w:val="restart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Локација извођења радова</w:t>
            </w: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Захтеви код којих је планирана вредност радова на територији седишта града</w:t>
            </w: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или општине 50% или више од укупне вредности радова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5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Захтеви који се односе на општине које</w:t>
            </w: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немају насељено место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10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Захтеви код којих је планирана вредност радова на територији које није седиште града или општине </w:t>
            </w: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lastRenderedPageBreak/>
              <w:t>више од 50% укупне вредности радова</w:t>
            </w:r>
          </w:p>
        </w:tc>
        <w:tc>
          <w:tcPr>
            <w:tcW w:w="1067" w:type="dxa"/>
          </w:tcPr>
          <w:p w:rsidR="00D8536C" w:rsidRPr="00136A37" w:rsidRDefault="00143B3E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en-US"/>
              </w:rPr>
              <w:lastRenderedPageBreak/>
              <w:t>15</w:t>
            </w:r>
          </w:p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 w:val="restart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lastRenderedPageBreak/>
              <w:t>Развијеност општине по Уредби о утврђивању јединствене листе развијености региона и јединица локалне самоуправе („Сл.гласник РС“ 104/2014)</w:t>
            </w: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Arial" w:eastAsia="Calibri" w:hAnsi="Arial" w:cs="Arial"/>
                <w:sz w:val="20"/>
                <w:szCs w:val="20"/>
                <w:lang w:val="sr-Cyrl-RS"/>
              </w:rPr>
              <w:t>˃</w:t>
            </w: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100 %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5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81-100%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10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61-80%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15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Arial" w:eastAsia="Calibri" w:hAnsi="Arial" w:cs="Arial"/>
                <w:sz w:val="20"/>
                <w:szCs w:val="20"/>
                <w:lang w:val="sr-Cyrl-RS"/>
              </w:rPr>
              <w:t>˂</w:t>
            </w: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 xml:space="preserve">60 % 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tabs>
                <w:tab w:val="center" w:pos="425"/>
              </w:tabs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ab/>
              <w:t>20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 w:val="restart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Степен значаја, сврсисходност и очекивани ефекти пројекта</w:t>
            </w: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10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1067" w:type="dxa"/>
          </w:tcPr>
          <w:p w:rsidR="00D8536C" w:rsidRPr="00136A37" w:rsidRDefault="00D8536C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20</w:t>
            </w:r>
          </w:p>
        </w:tc>
      </w:tr>
      <w:tr w:rsidR="00D8536C" w:rsidRPr="00136A37" w:rsidTr="00581CC1">
        <w:trPr>
          <w:jc w:val="center"/>
        </w:trPr>
        <w:tc>
          <w:tcPr>
            <w:tcW w:w="3964" w:type="dxa"/>
            <w:vMerge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:rsidR="00D8536C" w:rsidRPr="00136A37" w:rsidRDefault="00D8536C" w:rsidP="00581CC1">
            <w:pPr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Висок</w:t>
            </w:r>
          </w:p>
        </w:tc>
        <w:tc>
          <w:tcPr>
            <w:tcW w:w="1067" w:type="dxa"/>
          </w:tcPr>
          <w:p w:rsidR="00D8536C" w:rsidRPr="00136A37" w:rsidRDefault="00143B3E" w:rsidP="00581CC1">
            <w:pPr>
              <w:jc w:val="center"/>
              <w:rPr>
                <w:rFonts w:ascii="Verdana" w:eastAsia="Calibri" w:hAnsi="Verdana"/>
                <w:sz w:val="20"/>
                <w:szCs w:val="20"/>
                <w:lang w:val="sr-Cyrl-RS"/>
              </w:rPr>
            </w:pPr>
            <w:r w:rsidRPr="00136A37">
              <w:rPr>
                <w:rFonts w:ascii="Verdana" w:eastAsia="Calibri" w:hAnsi="Verdana"/>
                <w:sz w:val="20"/>
                <w:szCs w:val="20"/>
                <w:lang w:val="en-US"/>
              </w:rPr>
              <w:t>5</w:t>
            </w:r>
            <w:r w:rsidR="00D8536C" w:rsidRPr="00136A37">
              <w:rPr>
                <w:rFonts w:ascii="Verdana" w:eastAsia="Calibri" w:hAnsi="Verdana"/>
                <w:sz w:val="20"/>
                <w:szCs w:val="20"/>
                <w:lang w:val="sr-Cyrl-RS"/>
              </w:rPr>
              <w:t>0</w:t>
            </w:r>
          </w:p>
        </w:tc>
      </w:tr>
    </w:tbl>
    <w:p w:rsidR="00315623" w:rsidRPr="00136A37" w:rsidRDefault="00315623" w:rsidP="00C13507">
      <w:pPr>
        <w:rPr>
          <w:rFonts w:ascii="Verdana" w:hAnsi="Verdana"/>
          <w:b/>
          <w:sz w:val="20"/>
          <w:szCs w:val="20"/>
        </w:rPr>
      </w:pPr>
    </w:p>
    <w:p w:rsidR="00315623" w:rsidRPr="00136A37" w:rsidRDefault="00315623" w:rsidP="00315623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6A37">
        <w:rPr>
          <w:rFonts w:ascii="Verdana" w:hAnsi="Verdana"/>
          <w:b/>
          <w:sz w:val="20"/>
          <w:szCs w:val="20"/>
        </w:rPr>
        <w:t>Одлучивање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b/>
          <w:sz w:val="20"/>
          <w:szCs w:val="20"/>
        </w:rPr>
        <w:t>додели</w:t>
      </w:r>
      <w:proofErr w:type="spellEnd"/>
      <w:r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b/>
          <w:sz w:val="20"/>
          <w:szCs w:val="20"/>
        </w:rPr>
        <w:t>средстава</w:t>
      </w:r>
      <w:proofErr w:type="spellEnd"/>
    </w:p>
    <w:p w:rsidR="00315623" w:rsidRPr="00136A37" w:rsidRDefault="00B61372" w:rsidP="00315623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Члан</w:t>
      </w:r>
      <w:proofErr w:type="spellEnd"/>
      <w:r>
        <w:rPr>
          <w:rFonts w:ascii="Verdana" w:hAnsi="Verdana"/>
          <w:sz w:val="20"/>
          <w:szCs w:val="20"/>
        </w:rPr>
        <w:t xml:space="preserve"> 10</w:t>
      </w:r>
      <w:r w:rsidR="00315623" w:rsidRPr="00136A37">
        <w:rPr>
          <w:rFonts w:ascii="Verdana" w:hAnsi="Verdana"/>
          <w:sz w:val="20"/>
          <w:szCs w:val="20"/>
        </w:rPr>
        <w:t>.</w:t>
      </w:r>
    </w:p>
    <w:p w:rsidR="00315623" w:rsidRPr="00136A37" w:rsidRDefault="00315623" w:rsidP="00315623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Комисија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разматрање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(у </w:t>
      </w:r>
      <w:proofErr w:type="spellStart"/>
      <w:r w:rsidRPr="00136A37">
        <w:rPr>
          <w:rFonts w:ascii="Verdana" w:hAnsi="Verdana"/>
          <w:sz w:val="20"/>
          <w:szCs w:val="20"/>
        </w:rPr>
        <w:t>даљем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тексту</w:t>
      </w:r>
      <w:proofErr w:type="spellEnd"/>
      <w:r w:rsidRPr="00136A37">
        <w:rPr>
          <w:rFonts w:ascii="Verdana" w:hAnsi="Verdana"/>
          <w:sz w:val="20"/>
          <w:szCs w:val="20"/>
        </w:rPr>
        <w:t xml:space="preserve">: </w:t>
      </w:r>
      <w:proofErr w:type="spellStart"/>
      <w:r w:rsidRPr="00136A37">
        <w:rPr>
          <w:rFonts w:ascii="Verdana" w:hAnsi="Verdana"/>
          <w:sz w:val="20"/>
          <w:szCs w:val="20"/>
        </w:rPr>
        <w:t>Комисија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), </w:t>
      </w:r>
      <w:proofErr w:type="spellStart"/>
      <w:r w:rsidRPr="00136A37">
        <w:rPr>
          <w:rFonts w:ascii="Verdana" w:hAnsi="Verdana"/>
          <w:sz w:val="20"/>
          <w:szCs w:val="20"/>
        </w:rPr>
        <w:t>коју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r w:rsidRPr="00136A37">
        <w:rPr>
          <w:rFonts w:ascii="Verdana" w:hAnsi="Verdana"/>
          <w:sz w:val="20"/>
          <w:szCs w:val="20"/>
          <w:lang w:val="sr-Cyrl-RS"/>
        </w:rPr>
        <w:t>и</w:t>
      </w:r>
      <w:proofErr w:type="spellStart"/>
      <w:r w:rsidRPr="00136A37">
        <w:rPr>
          <w:rFonts w:ascii="Verdana" w:hAnsi="Verdana"/>
          <w:sz w:val="20"/>
          <w:szCs w:val="20"/>
        </w:rPr>
        <w:t>мен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ује </w:t>
      </w:r>
      <w:proofErr w:type="spellStart"/>
      <w:r w:rsidRPr="00136A37">
        <w:rPr>
          <w:rFonts w:ascii="Verdana" w:hAnsi="Verdana"/>
          <w:sz w:val="20"/>
          <w:szCs w:val="20"/>
        </w:rPr>
        <w:t>покрајински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секретар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разматра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поднете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доноси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записник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предлогом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додели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315623" w:rsidRPr="00136A37" w:rsidRDefault="00315623" w:rsidP="00315623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Комисија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предлаже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листу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подносилаца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испуњавају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услове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достављене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документације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у </w:t>
      </w:r>
      <w:proofErr w:type="spellStart"/>
      <w:r w:rsidRPr="00136A37">
        <w:rPr>
          <w:rFonts w:ascii="Verdana" w:hAnsi="Verdana"/>
          <w:sz w:val="20"/>
          <w:szCs w:val="20"/>
        </w:rPr>
        <w:t>складу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Конкурсом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Правилником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. У </w:t>
      </w:r>
      <w:proofErr w:type="spellStart"/>
      <w:r w:rsidRPr="00136A37">
        <w:rPr>
          <w:rFonts w:ascii="Verdana" w:hAnsi="Verdana"/>
          <w:sz w:val="20"/>
          <w:szCs w:val="20"/>
        </w:rPr>
        <w:t>складу</w:t>
      </w:r>
      <w:proofErr w:type="spellEnd"/>
      <w:r w:rsidRPr="00136A37">
        <w:rPr>
          <w:rFonts w:ascii="Verdana" w:hAnsi="Verdana"/>
          <w:sz w:val="20"/>
          <w:szCs w:val="20"/>
        </w:rPr>
        <w:t xml:space="preserve"> с </w:t>
      </w:r>
      <w:proofErr w:type="spellStart"/>
      <w:r w:rsidRPr="00136A37">
        <w:rPr>
          <w:rFonts w:ascii="Verdana" w:hAnsi="Verdana"/>
          <w:sz w:val="20"/>
          <w:szCs w:val="20"/>
        </w:rPr>
        <w:t>критеријумима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који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дефинисани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Правилником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формира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бодовна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листа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додељују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бесповратна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средства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315623" w:rsidRPr="00136A37" w:rsidRDefault="00315623" w:rsidP="00315623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Предлогом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додели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утврђују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појединачни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износи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подносиоцу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одобрена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начин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бодовања</w:t>
      </w:r>
      <w:proofErr w:type="spellEnd"/>
      <w:r w:rsidRPr="00136A37">
        <w:rPr>
          <w:rFonts w:ascii="Verdana" w:hAnsi="Verdana"/>
          <w:sz w:val="20"/>
          <w:szCs w:val="20"/>
        </w:rPr>
        <w:t xml:space="preserve">, а </w:t>
      </w:r>
      <w:proofErr w:type="spellStart"/>
      <w:r w:rsidRPr="00136A37">
        <w:rPr>
          <w:rFonts w:ascii="Verdana" w:hAnsi="Verdana"/>
          <w:sz w:val="20"/>
          <w:szCs w:val="20"/>
        </w:rPr>
        <w:t>подносиоцима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којима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нису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одобрена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наводе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разлози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одбијања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одбацивања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315623" w:rsidRPr="00136A37" w:rsidRDefault="00315623" w:rsidP="00315623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Одлуку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додели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доноси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покрајински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секретар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предлога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Комисије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315623" w:rsidRPr="00136A37" w:rsidRDefault="00315623" w:rsidP="00D17870">
      <w:pPr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Одлука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објављује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званичној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интернет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страни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Покрајинског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секретаријата</w:t>
      </w:r>
      <w:proofErr w:type="spellEnd"/>
      <w:r w:rsidRPr="00136A37">
        <w:rPr>
          <w:rFonts w:ascii="Verdana" w:hAnsi="Verdana"/>
          <w:sz w:val="20"/>
          <w:szCs w:val="20"/>
        </w:rPr>
        <w:t>: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136A37">
        <w:rPr>
          <w:rFonts w:ascii="Verdana" w:hAnsi="Verdana"/>
          <w:sz w:val="20"/>
          <w:szCs w:val="20"/>
        </w:rPr>
        <w:t>www.psp.vojvodina.gov.rs.</w:t>
      </w:r>
    </w:p>
    <w:p w:rsidR="007305D9" w:rsidRPr="00136A37" w:rsidRDefault="000647A1" w:rsidP="00130FFF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>Доношење појединачних решења</w:t>
      </w:r>
    </w:p>
    <w:p w:rsidR="007305D9" w:rsidRPr="00136A37" w:rsidRDefault="00B61372" w:rsidP="00130FFF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Члан</w:t>
      </w:r>
      <w:proofErr w:type="spellEnd"/>
      <w:r>
        <w:rPr>
          <w:rFonts w:ascii="Verdana" w:hAnsi="Verdana"/>
          <w:sz w:val="20"/>
          <w:szCs w:val="20"/>
        </w:rPr>
        <w:t xml:space="preserve"> 11</w:t>
      </w:r>
      <w:r w:rsidR="007305D9" w:rsidRPr="00136A37">
        <w:rPr>
          <w:rFonts w:ascii="Verdana" w:hAnsi="Verdana"/>
          <w:sz w:val="20"/>
          <w:szCs w:val="20"/>
        </w:rPr>
        <w:t>.</w:t>
      </w:r>
    </w:p>
    <w:p w:rsidR="007305D9" w:rsidRPr="00136A37" w:rsidRDefault="007305D9" w:rsidP="00C63A4D">
      <w:pPr>
        <w:spacing w:line="240" w:lineRule="auto"/>
        <w:ind w:firstLine="567"/>
        <w:jc w:val="both"/>
        <w:rPr>
          <w:rFonts w:ascii="Verdana" w:hAnsi="Verdana"/>
          <w:sz w:val="20"/>
          <w:szCs w:val="20"/>
        </w:rPr>
      </w:pP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Pr="00136A37">
        <w:rPr>
          <w:rFonts w:ascii="Verdana" w:hAnsi="Verdana"/>
          <w:sz w:val="20"/>
          <w:szCs w:val="20"/>
        </w:rPr>
        <w:t>Комисија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сачињава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а </w:t>
      </w:r>
      <w:proofErr w:type="spellStart"/>
      <w:r w:rsidRPr="00136A37">
        <w:rPr>
          <w:rFonts w:ascii="Verdana" w:hAnsi="Verdana"/>
          <w:sz w:val="20"/>
          <w:szCs w:val="20"/>
        </w:rPr>
        <w:t>покрај</w:t>
      </w:r>
      <w:r w:rsidR="00130FFF" w:rsidRPr="00136A37">
        <w:rPr>
          <w:rFonts w:ascii="Verdana" w:hAnsi="Verdana"/>
          <w:sz w:val="20"/>
          <w:szCs w:val="20"/>
        </w:rPr>
        <w:t>ински</w:t>
      </w:r>
      <w:proofErr w:type="spellEnd"/>
      <w:r w:rsidR="00130FFF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130FFF" w:rsidRPr="00136A37">
        <w:rPr>
          <w:rFonts w:ascii="Verdana" w:hAnsi="Verdana"/>
          <w:sz w:val="20"/>
          <w:szCs w:val="20"/>
        </w:rPr>
        <w:t>секретар</w:t>
      </w:r>
      <w:proofErr w:type="spellEnd"/>
      <w:r w:rsidR="00130FFF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130FFF" w:rsidRPr="00136A37">
        <w:rPr>
          <w:rFonts w:ascii="Verdana" w:hAnsi="Verdana"/>
          <w:sz w:val="20"/>
          <w:szCs w:val="20"/>
        </w:rPr>
        <w:t>доноси</w:t>
      </w:r>
      <w:proofErr w:type="spellEnd"/>
      <w:r w:rsidR="00130FFF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130FFF" w:rsidRPr="00136A37">
        <w:rPr>
          <w:rFonts w:ascii="Verdana" w:hAnsi="Verdana"/>
          <w:sz w:val="20"/>
          <w:szCs w:val="20"/>
        </w:rPr>
        <w:t>решење</w:t>
      </w:r>
      <w:proofErr w:type="spellEnd"/>
      <w:r w:rsidR="00130FFF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130FFF" w:rsidRPr="00136A37">
        <w:rPr>
          <w:rFonts w:ascii="Verdana" w:hAnsi="Verdana"/>
          <w:sz w:val="20"/>
          <w:szCs w:val="20"/>
        </w:rPr>
        <w:t>са</w:t>
      </w:r>
      <w:proofErr w:type="spellEnd"/>
      <w:r w:rsidR="00130FFF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образложењем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поуком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о </w:t>
      </w:r>
      <w:proofErr w:type="spellStart"/>
      <w:r w:rsidRPr="00136A37">
        <w:rPr>
          <w:rFonts w:ascii="Verdana" w:hAnsi="Verdana"/>
          <w:sz w:val="20"/>
          <w:szCs w:val="20"/>
        </w:rPr>
        <w:t>правном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средству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за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подносиоце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који</w:t>
      </w:r>
      <w:r w:rsidR="000647A1" w:rsidRPr="00136A37">
        <w:rPr>
          <w:rFonts w:ascii="Verdana" w:hAnsi="Verdana"/>
          <w:sz w:val="20"/>
          <w:szCs w:val="20"/>
        </w:rPr>
        <w:t>ма</w:t>
      </w:r>
      <w:proofErr w:type="spellEnd"/>
      <w:r w:rsidR="000647A1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0647A1" w:rsidRPr="00136A37">
        <w:rPr>
          <w:rFonts w:ascii="Verdana" w:hAnsi="Verdana"/>
          <w:sz w:val="20"/>
          <w:szCs w:val="20"/>
        </w:rPr>
        <w:t>су</w:t>
      </w:r>
      <w:proofErr w:type="spellEnd"/>
      <w:r w:rsidR="000647A1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0647A1" w:rsidRPr="00136A37">
        <w:rPr>
          <w:rFonts w:ascii="Verdana" w:hAnsi="Verdana"/>
          <w:sz w:val="20"/>
          <w:szCs w:val="20"/>
        </w:rPr>
        <w:t>пријаве</w:t>
      </w:r>
      <w:proofErr w:type="spellEnd"/>
      <w:r w:rsidR="000647A1"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="000647A1" w:rsidRPr="00136A37">
        <w:rPr>
          <w:rFonts w:ascii="Verdana" w:hAnsi="Verdana"/>
          <w:sz w:val="20"/>
          <w:szCs w:val="20"/>
        </w:rPr>
        <w:t>одбијене</w:t>
      </w:r>
      <w:proofErr w:type="spellEnd"/>
      <w:r w:rsidR="000647A1" w:rsidRPr="00136A37">
        <w:rPr>
          <w:rFonts w:ascii="Verdana" w:hAnsi="Verdana"/>
          <w:sz w:val="20"/>
          <w:szCs w:val="20"/>
        </w:rPr>
        <w:t xml:space="preserve">, </w:t>
      </w:r>
      <w:proofErr w:type="spellStart"/>
      <w:r w:rsidR="00130FFF" w:rsidRPr="00136A37">
        <w:rPr>
          <w:rFonts w:ascii="Verdana" w:hAnsi="Verdana"/>
          <w:sz w:val="20"/>
          <w:szCs w:val="20"/>
        </w:rPr>
        <w:t>одбачене</w:t>
      </w:r>
      <w:proofErr w:type="spellEnd"/>
      <w:r w:rsidR="00130FFF" w:rsidRPr="00136A37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или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нису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/>
          <w:sz w:val="20"/>
          <w:szCs w:val="20"/>
        </w:rPr>
        <w:t>потпуности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прихваћене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пријаве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основу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предлога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одлуке</w:t>
      </w:r>
      <w:proofErr w:type="spellEnd"/>
      <w:r w:rsidRPr="00136A37">
        <w:rPr>
          <w:rFonts w:ascii="Verdana" w:hAnsi="Verdana"/>
          <w:sz w:val="20"/>
          <w:szCs w:val="20"/>
        </w:rPr>
        <w:t>.</w:t>
      </w:r>
    </w:p>
    <w:p w:rsidR="00584A5B" w:rsidRPr="00136A37" w:rsidRDefault="00584A5B" w:rsidP="00584A5B">
      <w:pPr>
        <w:ind w:right="284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>Право жалбе</w:t>
      </w:r>
    </w:p>
    <w:p w:rsidR="00584A5B" w:rsidRPr="00136A37" w:rsidRDefault="00B61372" w:rsidP="00584A5B">
      <w:pPr>
        <w:jc w:val="center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Члан 12</w:t>
      </w:r>
      <w:r w:rsidR="00584A5B" w:rsidRPr="00136A37">
        <w:rPr>
          <w:rFonts w:ascii="Verdana" w:hAnsi="Verdana"/>
          <w:sz w:val="20"/>
          <w:szCs w:val="20"/>
          <w:lang w:val="sr-Cyrl-RS"/>
        </w:rPr>
        <w:t>.</w:t>
      </w:r>
    </w:p>
    <w:p w:rsidR="00584A5B" w:rsidRPr="00136A37" w:rsidRDefault="00584A5B" w:rsidP="00584A5B">
      <w:pPr>
        <w:pStyle w:val="NoSpacing"/>
        <w:ind w:firstLine="567"/>
        <w:jc w:val="both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Незадовољни подносилац пријаве има право жалбе, у складу са законом.</w:t>
      </w:r>
    </w:p>
    <w:p w:rsidR="00584A5B" w:rsidRPr="00136A37" w:rsidRDefault="00584A5B" w:rsidP="00584A5B">
      <w:pPr>
        <w:pStyle w:val="NoSpacing"/>
        <w:ind w:firstLine="567"/>
        <w:jc w:val="both"/>
        <w:rPr>
          <w:rFonts w:ascii="Verdana" w:hAnsi="Verdana"/>
          <w:strike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584A5B" w:rsidRPr="00136A37" w:rsidRDefault="00584A5B" w:rsidP="00584A5B">
      <w:pPr>
        <w:pStyle w:val="NoSpacing"/>
        <w:ind w:firstLine="567"/>
        <w:jc w:val="both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О жалби се одлучује у поступку прописаном Законом о општем управном поступку.</w:t>
      </w:r>
    </w:p>
    <w:p w:rsidR="00584A5B" w:rsidRPr="00136A37" w:rsidRDefault="00584A5B" w:rsidP="000828A3">
      <w:pPr>
        <w:rPr>
          <w:rFonts w:ascii="Verdana" w:hAnsi="Verdana"/>
          <w:b/>
          <w:sz w:val="20"/>
          <w:szCs w:val="20"/>
          <w:lang w:val="sr-Cyrl-RS"/>
        </w:rPr>
      </w:pPr>
    </w:p>
    <w:p w:rsidR="00741386" w:rsidRDefault="00741386" w:rsidP="000828A3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741386" w:rsidRDefault="00741386" w:rsidP="000828A3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584A5B" w:rsidRPr="00136A37" w:rsidRDefault="00584A5B" w:rsidP="000828A3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lastRenderedPageBreak/>
        <w:t>Измена  одлуке</w:t>
      </w:r>
    </w:p>
    <w:p w:rsidR="00584A5B" w:rsidRPr="00136A37" w:rsidRDefault="00584A5B" w:rsidP="001E3AC8">
      <w:pPr>
        <w:jc w:val="center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Члан 1</w:t>
      </w:r>
      <w:r w:rsidR="00B61372">
        <w:rPr>
          <w:rFonts w:ascii="Verdana" w:hAnsi="Verdana"/>
          <w:sz w:val="20"/>
          <w:szCs w:val="20"/>
          <w:lang w:val="sr-Cyrl-RS"/>
        </w:rPr>
        <w:t>3</w:t>
      </w:r>
      <w:r w:rsidRPr="00136A37">
        <w:rPr>
          <w:rFonts w:ascii="Verdana" w:hAnsi="Verdana"/>
          <w:sz w:val="20"/>
          <w:szCs w:val="20"/>
          <w:lang w:val="sr-Cyrl-RS"/>
        </w:rPr>
        <w:t>.</w:t>
      </w:r>
    </w:p>
    <w:p w:rsidR="00584A5B" w:rsidRPr="00136A37" w:rsidRDefault="00584A5B" w:rsidP="00584A5B">
      <w:pPr>
        <w:pStyle w:val="NoSpacing"/>
        <w:ind w:firstLine="709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RS"/>
        </w:rPr>
        <w:t xml:space="preserve">Комисија ће предложити измену и допуну Одлуке о расподели средстава </w:t>
      </w:r>
      <w:r w:rsidR="000647A1" w:rsidRPr="00136A37">
        <w:rPr>
          <w:rFonts w:ascii="Verdana" w:hAnsi="Verdana"/>
          <w:sz w:val="20"/>
          <w:szCs w:val="20"/>
          <w:lang w:val="sr-Cyrl-RS"/>
        </w:rPr>
        <w:t xml:space="preserve"> на основу усвојених жалби, </w:t>
      </w:r>
      <w:r w:rsidRPr="00136A37">
        <w:rPr>
          <w:rFonts w:ascii="Verdana" w:hAnsi="Verdana"/>
          <w:sz w:val="20"/>
          <w:szCs w:val="20"/>
          <w:lang w:val="sr-Cyrl-RS"/>
        </w:rPr>
        <w:t xml:space="preserve">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 којима се одобравају нераспоређена средства према редоследу бодовне листе. </w:t>
      </w:r>
    </w:p>
    <w:p w:rsidR="001E3AC8" w:rsidRDefault="00C63A4D" w:rsidP="001E3AC8">
      <w:pPr>
        <w:jc w:val="center"/>
        <w:rPr>
          <w:rFonts w:ascii="Verdana" w:hAnsi="Verdana"/>
          <w:b/>
          <w:sz w:val="20"/>
          <w:szCs w:val="20"/>
        </w:rPr>
      </w:pPr>
      <w:r w:rsidRPr="00136A37">
        <w:rPr>
          <w:rFonts w:ascii="Verdana" w:hAnsi="Verdana"/>
          <w:b/>
          <w:sz w:val="20"/>
          <w:szCs w:val="20"/>
        </w:rPr>
        <w:br/>
      </w:r>
      <w:proofErr w:type="spellStart"/>
      <w:r w:rsidR="007305D9" w:rsidRPr="00136A37">
        <w:rPr>
          <w:rFonts w:ascii="Verdana" w:hAnsi="Verdana"/>
          <w:b/>
          <w:sz w:val="20"/>
          <w:szCs w:val="20"/>
        </w:rPr>
        <w:t>Уговор</w:t>
      </w:r>
      <w:proofErr w:type="spellEnd"/>
      <w:r w:rsidR="007305D9" w:rsidRPr="00136A37">
        <w:rPr>
          <w:rFonts w:ascii="Verdana" w:hAnsi="Verdana"/>
          <w:b/>
          <w:sz w:val="20"/>
          <w:szCs w:val="20"/>
        </w:rPr>
        <w:t xml:space="preserve"> о </w:t>
      </w:r>
      <w:proofErr w:type="spellStart"/>
      <w:r w:rsidR="007305D9" w:rsidRPr="00136A37">
        <w:rPr>
          <w:rFonts w:ascii="Verdana" w:hAnsi="Verdana"/>
          <w:b/>
          <w:sz w:val="20"/>
          <w:szCs w:val="20"/>
        </w:rPr>
        <w:t>додели</w:t>
      </w:r>
      <w:proofErr w:type="spellEnd"/>
      <w:r w:rsidR="007305D9" w:rsidRPr="00136A3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305D9" w:rsidRPr="00136A37">
        <w:rPr>
          <w:rFonts w:ascii="Verdana" w:hAnsi="Verdana"/>
          <w:b/>
          <w:sz w:val="20"/>
          <w:szCs w:val="20"/>
        </w:rPr>
        <w:t>средстава</w:t>
      </w:r>
      <w:proofErr w:type="spellEnd"/>
    </w:p>
    <w:p w:rsidR="007305D9" w:rsidRPr="001E3AC8" w:rsidRDefault="00B61372" w:rsidP="001E3AC8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Члан</w:t>
      </w:r>
      <w:proofErr w:type="spellEnd"/>
      <w:r>
        <w:rPr>
          <w:rFonts w:ascii="Verdana" w:hAnsi="Verdana"/>
          <w:sz w:val="20"/>
          <w:szCs w:val="20"/>
        </w:rPr>
        <w:t xml:space="preserve"> 14</w:t>
      </w:r>
      <w:r w:rsidR="007305D9" w:rsidRPr="00136A37">
        <w:rPr>
          <w:rFonts w:ascii="Verdana" w:hAnsi="Verdana"/>
          <w:sz w:val="20"/>
          <w:szCs w:val="20"/>
        </w:rPr>
        <w:t>.</w:t>
      </w:r>
    </w:p>
    <w:p w:rsidR="00DF1A35" w:rsidRPr="00136A37" w:rsidRDefault="00DF1A35" w:rsidP="00136A37">
      <w:pPr>
        <w:spacing w:after="0" w:line="218" w:lineRule="auto"/>
        <w:ind w:right="100" w:firstLine="720"/>
        <w:jc w:val="both"/>
        <w:rPr>
          <w:rFonts w:ascii="Verdana" w:eastAsia="Calibri" w:hAnsi="Verdana" w:cs="Arial"/>
          <w:sz w:val="20"/>
          <w:szCs w:val="20"/>
          <w:lang w:val="sr-Latn-RS" w:eastAsia="sr-Latn-RS"/>
        </w:rPr>
      </w:pPr>
      <w:r w:rsidRPr="00136A37">
        <w:rPr>
          <w:rFonts w:ascii="Verdana" w:eastAsia="Calibri" w:hAnsi="Verdana" w:cs="Arial"/>
          <w:sz w:val="20"/>
          <w:szCs w:val="20"/>
          <w:lang w:val="sr-Latn-RS" w:eastAsia="sr-Latn-RS"/>
        </w:rPr>
        <w:t xml:space="preserve">Након доношења одлуке о додели бесповратних средстава </w:t>
      </w:r>
      <w:r w:rsidRPr="00136A37">
        <w:rPr>
          <w:rFonts w:ascii="Verdana" w:eastAsia="Calibri" w:hAnsi="Verdana" w:cs="Arial"/>
          <w:sz w:val="20"/>
          <w:szCs w:val="20"/>
          <w:lang w:val="sr-Cyrl-RS" w:eastAsia="sr-Latn-RS"/>
        </w:rPr>
        <w:t>Покрајински с</w:t>
      </w:r>
      <w:r w:rsidRPr="00136A37">
        <w:rPr>
          <w:rFonts w:ascii="Verdana" w:eastAsia="Calibri" w:hAnsi="Verdana" w:cs="Arial"/>
          <w:sz w:val="20"/>
          <w:szCs w:val="20"/>
          <w:lang w:val="sr-Latn-RS" w:eastAsia="sr-Latn-RS"/>
        </w:rPr>
        <w:t xml:space="preserve">екретар у име </w:t>
      </w:r>
      <w:r w:rsidRPr="00136A37">
        <w:rPr>
          <w:rFonts w:ascii="Verdana" w:hAnsi="Verdana"/>
          <w:sz w:val="20"/>
          <w:szCs w:val="20"/>
          <w:lang w:val="sr-Cyrl-RS"/>
        </w:rPr>
        <w:t>Покрајинског с</w:t>
      </w:r>
      <w:r w:rsidRPr="00136A37">
        <w:rPr>
          <w:rFonts w:ascii="Verdana" w:hAnsi="Verdana"/>
          <w:sz w:val="20"/>
          <w:szCs w:val="20"/>
          <w:lang w:val="sr-Cyrl-CS"/>
        </w:rPr>
        <w:t>екретаријат</w:t>
      </w:r>
      <w:r w:rsidRPr="00136A37">
        <w:rPr>
          <w:rFonts w:ascii="Verdana" w:hAnsi="Verdana"/>
          <w:sz w:val="20"/>
          <w:szCs w:val="20"/>
          <w:lang w:val="sr-Cyrl-RS"/>
        </w:rPr>
        <w:t>а</w:t>
      </w:r>
      <w:r w:rsidRPr="00136A37">
        <w:rPr>
          <w:rFonts w:ascii="Verdana" w:eastAsia="Calibri" w:hAnsi="Verdana" w:cs="Arial"/>
          <w:sz w:val="20"/>
          <w:szCs w:val="20"/>
          <w:lang w:val="sr-Latn-RS" w:eastAsia="sr-Latn-RS"/>
        </w:rPr>
        <w:t xml:space="preserve"> закључује уговор о додели средстава са корисником, којим се регулишу права и обавезе</w:t>
      </w:r>
      <w:r w:rsidRPr="00136A37">
        <w:rPr>
          <w:rFonts w:ascii="Verdana" w:eastAsia="Calibri" w:hAnsi="Verdana" w:cs="Arial"/>
          <w:sz w:val="20"/>
          <w:szCs w:val="20"/>
          <w:lang w:val="sr-Cyrl-RS" w:eastAsia="sr-Latn-RS"/>
        </w:rPr>
        <w:t xml:space="preserve"> </w:t>
      </w:r>
      <w:r w:rsidRPr="00136A37">
        <w:rPr>
          <w:rFonts w:ascii="Verdana" w:eastAsia="Calibri" w:hAnsi="Verdana" w:cs="Arial"/>
          <w:sz w:val="20"/>
          <w:szCs w:val="20"/>
          <w:lang w:val="sr-Latn-RS" w:eastAsia="sr-Latn-RS"/>
        </w:rPr>
        <w:t>уговорних страна.</w:t>
      </w:r>
    </w:p>
    <w:p w:rsidR="007A4BDC" w:rsidRPr="00B61372" w:rsidRDefault="00C13507" w:rsidP="00B61372">
      <w:pPr>
        <w:pStyle w:val="NoSpacing"/>
        <w:ind w:firstLine="720"/>
        <w:jc w:val="both"/>
        <w:rPr>
          <w:rFonts w:ascii="Verdana" w:hAnsi="Verdana"/>
          <w:sz w:val="20"/>
          <w:szCs w:val="20"/>
        </w:rPr>
      </w:pPr>
      <w:r w:rsidRPr="00B61372">
        <w:rPr>
          <w:rFonts w:ascii="Verdana" w:hAnsi="Verdana"/>
          <w:sz w:val="20"/>
          <w:szCs w:val="20"/>
          <w:lang w:val="sr-Cyrl-RS"/>
        </w:rPr>
        <w:t>К</w:t>
      </w:r>
      <w:proofErr w:type="spellStart"/>
      <w:r w:rsidRPr="00B61372">
        <w:rPr>
          <w:rFonts w:ascii="Verdana" w:hAnsi="Verdana"/>
          <w:sz w:val="20"/>
          <w:szCs w:val="20"/>
        </w:rPr>
        <w:t>орисник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средстава</w:t>
      </w:r>
      <w:proofErr w:type="spellEnd"/>
      <w:r w:rsidRPr="00B61372">
        <w:rPr>
          <w:rFonts w:ascii="Verdana" w:hAnsi="Verdana"/>
          <w:sz w:val="20"/>
          <w:szCs w:val="20"/>
        </w:rPr>
        <w:t xml:space="preserve"> у </w:t>
      </w:r>
      <w:proofErr w:type="spellStart"/>
      <w:r w:rsidRPr="00B61372">
        <w:rPr>
          <w:rFonts w:ascii="Verdana" w:hAnsi="Verdana"/>
          <w:sz w:val="20"/>
          <w:szCs w:val="20"/>
        </w:rPr>
        <w:t>обавези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је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да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непосредно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r w:rsidRPr="00B61372">
        <w:rPr>
          <w:rFonts w:ascii="Verdana" w:hAnsi="Verdana"/>
          <w:sz w:val="20"/>
          <w:szCs w:val="20"/>
          <w:lang w:val="sr-Cyrl-RS"/>
        </w:rPr>
        <w:t>након</w:t>
      </w:r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закључења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уговора</w:t>
      </w:r>
      <w:proofErr w:type="spellEnd"/>
      <w:r w:rsidRPr="00B61372">
        <w:rPr>
          <w:rFonts w:ascii="Verdana" w:hAnsi="Verdana"/>
          <w:sz w:val="20"/>
          <w:szCs w:val="20"/>
        </w:rPr>
        <w:t xml:space="preserve"> о </w:t>
      </w:r>
      <w:proofErr w:type="spellStart"/>
      <w:r w:rsidRPr="00B61372">
        <w:rPr>
          <w:rFonts w:ascii="Verdana" w:hAnsi="Verdana"/>
          <w:sz w:val="20"/>
          <w:szCs w:val="20"/>
        </w:rPr>
        <w:t>коришћењу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средстава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са</w:t>
      </w:r>
      <w:proofErr w:type="spellEnd"/>
      <w:r w:rsidRPr="00B61372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Секретаријатом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преда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r w:rsidRPr="00B61372">
        <w:rPr>
          <w:rFonts w:ascii="Verdana" w:hAnsi="Verdana"/>
          <w:sz w:val="20"/>
          <w:szCs w:val="20"/>
          <w:lang w:val="sr-Cyrl-RS"/>
        </w:rPr>
        <w:t xml:space="preserve">копију захтева за регистрацију менице, </w:t>
      </w:r>
      <w:proofErr w:type="spellStart"/>
      <w:r w:rsidRPr="00B61372">
        <w:rPr>
          <w:rFonts w:ascii="Verdana" w:hAnsi="Verdana"/>
          <w:sz w:val="20"/>
          <w:szCs w:val="20"/>
        </w:rPr>
        <w:t>регистровану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меницу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r w:rsidRPr="00B61372">
        <w:rPr>
          <w:rFonts w:ascii="Verdana" w:hAnsi="Verdana"/>
          <w:sz w:val="20"/>
          <w:szCs w:val="20"/>
          <w:lang w:val="sr-Cyrl-RS"/>
        </w:rPr>
        <w:t>и</w:t>
      </w:r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менично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овлашћење</w:t>
      </w:r>
      <w:proofErr w:type="spellEnd"/>
      <w:r w:rsidRPr="00B61372">
        <w:rPr>
          <w:rFonts w:ascii="Verdana" w:hAnsi="Verdana"/>
          <w:sz w:val="20"/>
          <w:szCs w:val="20"/>
        </w:rPr>
        <w:t xml:space="preserve">, </w:t>
      </w:r>
      <w:proofErr w:type="spellStart"/>
      <w:r w:rsidRPr="00B61372">
        <w:rPr>
          <w:rFonts w:ascii="Verdana" w:hAnsi="Verdana"/>
          <w:sz w:val="20"/>
          <w:szCs w:val="20"/>
        </w:rPr>
        <w:t>као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средство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обезбеђења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за</w:t>
      </w:r>
      <w:proofErr w:type="spellEnd"/>
      <w:r w:rsidRPr="00B61372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наменско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коришћење</w:t>
      </w:r>
      <w:proofErr w:type="spellEnd"/>
      <w:r w:rsidRPr="00B61372">
        <w:rPr>
          <w:rFonts w:ascii="Verdana" w:hAnsi="Verdana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додељених</w:t>
      </w:r>
      <w:proofErr w:type="spellEnd"/>
      <w:r w:rsidRPr="00B61372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B61372">
        <w:rPr>
          <w:rFonts w:ascii="Verdana" w:hAnsi="Verdana"/>
          <w:sz w:val="20"/>
          <w:szCs w:val="20"/>
        </w:rPr>
        <w:t>средстава</w:t>
      </w:r>
      <w:proofErr w:type="spellEnd"/>
      <w:r w:rsidRPr="00B61372">
        <w:rPr>
          <w:rFonts w:ascii="Verdana" w:hAnsi="Verdana"/>
          <w:sz w:val="20"/>
          <w:szCs w:val="20"/>
        </w:rPr>
        <w:t>.</w:t>
      </w:r>
    </w:p>
    <w:p w:rsidR="000647A1" w:rsidRPr="00136A37" w:rsidRDefault="00B61372" w:rsidP="00B61372">
      <w:pPr>
        <w:spacing w:after="0" w:line="218" w:lineRule="auto"/>
        <w:ind w:right="100" w:firstLine="7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Н</w:t>
      </w:r>
      <w:r w:rsidRPr="00136A37">
        <w:rPr>
          <w:rFonts w:ascii="Verdana" w:hAnsi="Verdana"/>
          <w:sz w:val="20"/>
          <w:szCs w:val="20"/>
          <w:lang w:val="sr-Cyrl-CS"/>
        </w:rPr>
        <w:t xml:space="preserve">акон достављања оверене </w:t>
      </w:r>
      <w:proofErr w:type="spellStart"/>
      <w:r w:rsidRPr="00136A37">
        <w:rPr>
          <w:rFonts w:ascii="Verdana" w:hAnsi="Verdana"/>
          <w:sz w:val="20"/>
          <w:szCs w:val="20"/>
        </w:rPr>
        <w:t>окончане</w:t>
      </w:r>
      <w:proofErr w:type="spellEnd"/>
      <w:r w:rsidRPr="00136A37">
        <w:rPr>
          <w:rFonts w:ascii="Verdana" w:hAnsi="Verdana"/>
          <w:sz w:val="20"/>
          <w:szCs w:val="20"/>
          <w:lang w:val="sr-Cyrl-CS"/>
        </w:rPr>
        <w:t xml:space="preserve"> ситуације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136A37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анексом уговора утврдиће се к</w:t>
      </w:r>
      <w:r w:rsidR="000647A1" w:rsidRPr="00136A37">
        <w:rPr>
          <w:rFonts w:ascii="Verdana" w:hAnsi="Verdana"/>
          <w:sz w:val="20"/>
          <w:szCs w:val="20"/>
          <w:lang w:val="sr-Cyrl-CS"/>
        </w:rPr>
        <w:t xml:space="preserve">оначан износ средстава која обезбеђују </w:t>
      </w:r>
      <w:r w:rsidR="000647A1" w:rsidRPr="00136A37">
        <w:rPr>
          <w:rFonts w:ascii="Verdana" w:hAnsi="Verdana"/>
          <w:sz w:val="20"/>
          <w:szCs w:val="20"/>
          <w:lang w:val="sr-Cyrl-RS"/>
        </w:rPr>
        <w:t>Покрајински с</w:t>
      </w:r>
      <w:r w:rsidR="000647A1" w:rsidRPr="00136A37">
        <w:rPr>
          <w:rFonts w:ascii="Verdana" w:hAnsi="Verdana"/>
          <w:sz w:val="20"/>
          <w:szCs w:val="20"/>
          <w:lang w:val="sr-Cyrl-CS"/>
        </w:rPr>
        <w:t>екретаријат у случај</w:t>
      </w:r>
      <w:r>
        <w:rPr>
          <w:rFonts w:ascii="Verdana" w:hAnsi="Verdana"/>
          <w:sz w:val="20"/>
          <w:szCs w:val="20"/>
          <w:lang w:val="sr-Cyrl-CS"/>
        </w:rPr>
        <w:t xml:space="preserve">у да </w:t>
      </w:r>
      <w:r w:rsidR="00C13507" w:rsidRPr="00136A37">
        <w:rPr>
          <w:rFonts w:ascii="Verdana" w:hAnsi="Verdana"/>
          <w:sz w:val="20"/>
          <w:szCs w:val="20"/>
          <w:lang w:val="sr-Cyrl-CS"/>
        </w:rPr>
        <w:t xml:space="preserve">је вредност радова уговорена између корисника средстава и извршиоца мања од укупне уговорене вредности уговора између </w:t>
      </w:r>
      <w:r w:rsidR="00C13507" w:rsidRPr="00136A37">
        <w:rPr>
          <w:rFonts w:ascii="Verdana" w:hAnsi="Verdana"/>
          <w:sz w:val="20"/>
          <w:szCs w:val="20"/>
          <w:lang w:val="sr-Cyrl-RS"/>
        </w:rPr>
        <w:t>Покрајинског с</w:t>
      </w:r>
      <w:r w:rsidR="00C13507" w:rsidRPr="00136A37">
        <w:rPr>
          <w:rFonts w:ascii="Verdana" w:hAnsi="Verdana"/>
          <w:sz w:val="20"/>
          <w:szCs w:val="20"/>
          <w:lang w:val="sr-Cyrl-CS"/>
        </w:rPr>
        <w:t>екр</w:t>
      </w:r>
      <w:r>
        <w:rPr>
          <w:rFonts w:ascii="Verdana" w:hAnsi="Verdana"/>
          <w:sz w:val="20"/>
          <w:szCs w:val="20"/>
          <w:lang w:val="sr-Cyrl-CS"/>
        </w:rPr>
        <w:t>етаријата и корисника средстава</w:t>
      </w:r>
      <w:r w:rsidR="00C13507" w:rsidRPr="00136A37">
        <w:rPr>
          <w:rFonts w:ascii="Verdana" w:hAnsi="Verdana"/>
          <w:sz w:val="20"/>
          <w:szCs w:val="20"/>
          <w:lang w:val="sr-Cyrl-CS"/>
        </w:rPr>
        <w:t>.</w:t>
      </w:r>
    </w:p>
    <w:p w:rsidR="007A4BDC" w:rsidRPr="00136A37" w:rsidRDefault="007A4BDC" w:rsidP="00136A37">
      <w:pPr>
        <w:spacing w:after="0" w:line="240" w:lineRule="auto"/>
        <w:ind w:right="-55" w:firstLine="720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Уколико је вредност радова уговорена и</w:t>
      </w:r>
      <w:r w:rsidR="00BA6E3A">
        <w:rPr>
          <w:rFonts w:ascii="Verdana" w:hAnsi="Verdana"/>
          <w:sz w:val="20"/>
          <w:szCs w:val="20"/>
          <w:lang w:val="sr-Cyrl-CS"/>
        </w:rPr>
        <w:t>змеђу корисника средстава и Изв</w:t>
      </w:r>
      <w:r w:rsidRPr="00136A37">
        <w:rPr>
          <w:rFonts w:ascii="Verdana" w:hAnsi="Verdana"/>
          <w:sz w:val="20"/>
          <w:szCs w:val="20"/>
          <w:lang w:val="sr-Cyrl-CS"/>
        </w:rPr>
        <w:t xml:space="preserve">ршиоца већа од укупне уговорене вредности уговора између </w:t>
      </w:r>
      <w:r w:rsidRPr="00136A37">
        <w:rPr>
          <w:rFonts w:ascii="Verdana" w:hAnsi="Verdana"/>
          <w:sz w:val="20"/>
          <w:szCs w:val="20"/>
          <w:lang w:val="sr-Cyrl-RS"/>
        </w:rPr>
        <w:t>Покрајинског с</w:t>
      </w:r>
      <w:r w:rsidRPr="00136A37">
        <w:rPr>
          <w:rFonts w:ascii="Verdana" w:hAnsi="Verdana"/>
          <w:sz w:val="20"/>
          <w:szCs w:val="20"/>
          <w:lang w:val="sr-Cyrl-CS"/>
        </w:rPr>
        <w:t>екретаријата и корисника средстава, разлика пада на терет корисника средстава.</w:t>
      </w:r>
    </w:p>
    <w:p w:rsidR="007A4BDC" w:rsidRPr="00136A37" w:rsidRDefault="007A4BDC" w:rsidP="00136A37">
      <w:pPr>
        <w:spacing w:after="0" w:line="240" w:lineRule="auto"/>
        <w:ind w:right="-55" w:firstLine="720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RS"/>
        </w:rPr>
        <w:t>К</w:t>
      </w:r>
      <w:proofErr w:type="spellStart"/>
      <w:r w:rsidRPr="00136A37">
        <w:rPr>
          <w:rFonts w:ascii="Verdana" w:hAnsi="Verdana"/>
          <w:sz w:val="20"/>
          <w:szCs w:val="20"/>
        </w:rPr>
        <w:t>орисник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је</w:t>
      </w:r>
      <w:proofErr w:type="spellEnd"/>
      <w:r w:rsidRPr="00136A37">
        <w:rPr>
          <w:rFonts w:ascii="Verdana" w:hAnsi="Verdana"/>
          <w:sz w:val="20"/>
          <w:szCs w:val="20"/>
        </w:rPr>
        <w:t xml:space="preserve"> у </w:t>
      </w:r>
      <w:proofErr w:type="spellStart"/>
      <w:r w:rsidRPr="00136A37">
        <w:rPr>
          <w:rFonts w:ascii="Verdana" w:hAnsi="Verdana"/>
          <w:sz w:val="20"/>
          <w:szCs w:val="20"/>
        </w:rPr>
        <w:t>обавези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да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обезбеди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сву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неопходну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техничку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документацију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као</w:t>
      </w:r>
      <w:proofErr w:type="spellEnd"/>
      <w:r w:rsidRPr="00136A37">
        <w:rPr>
          <w:rFonts w:ascii="Verdana" w:hAnsi="Verdana"/>
          <w:sz w:val="20"/>
          <w:szCs w:val="20"/>
        </w:rPr>
        <w:t xml:space="preserve"> и </w:t>
      </w:r>
      <w:proofErr w:type="spellStart"/>
      <w:r w:rsidRPr="00136A37">
        <w:rPr>
          <w:rFonts w:ascii="Verdana" w:hAnsi="Verdana"/>
          <w:sz w:val="20"/>
          <w:szCs w:val="20"/>
        </w:rPr>
        <w:t>све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неопходне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дозволе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од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надлежних</w:t>
      </w:r>
      <w:proofErr w:type="spellEnd"/>
      <w:r w:rsidRPr="00136A37">
        <w:rPr>
          <w:rFonts w:ascii="Verdana" w:hAnsi="Verdana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/>
          <w:sz w:val="20"/>
          <w:szCs w:val="20"/>
        </w:rPr>
        <w:t>органа</w:t>
      </w:r>
      <w:proofErr w:type="spellEnd"/>
      <w:r w:rsidRPr="00136A37">
        <w:rPr>
          <w:rFonts w:ascii="Verdana" w:hAnsi="Verdana"/>
          <w:sz w:val="20"/>
          <w:szCs w:val="20"/>
          <w:lang w:val="sr-Cyrl-RS"/>
        </w:rPr>
        <w:t>.</w:t>
      </w:r>
    </w:p>
    <w:p w:rsidR="00C13507" w:rsidRPr="0072711E" w:rsidRDefault="00C13507" w:rsidP="00136A37">
      <w:pPr>
        <w:spacing w:after="0"/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RS"/>
        </w:rPr>
        <w:t>К</w:t>
      </w:r>
      <w:r w:rsidRPr="0072711E">
        <w:rPr>
          <w:rFonts w:ascii="Verdana" w:hAnsi="Verdana"/>
          <w:sz w:val="20"/>
          <w:szCs w:val="20"/>
          <w:lang w:val="sr-Cyrl-CS"/>
        </w:rPr>
        <w:t xml:space="preserve">орисник средстава дужан је да </w:t>
      </w:r>
      <w:r w:rsidRPr="00136A37">
        <w:rPr>
          <w:rFonts w:ascii="Verdana" w:hAnsi="Verdana"/>
          <w:sz w:val="20"/>
          <w:szCs w:val="20"/>
          <w:lang w:val="sr-Cyrl-RS"/>
        </w:rPr>
        <w:t xml:space="preserve">радове на уклањању дивљих депонија реализује </w:t>
      </w:r>
      <w:r w:rsidRPr="0072711E">
        <w:rPr>
          <w:rFonts w:ascii="Verdana" w:hAnsi="Verdana"/>
          <w:sz w:val="20"/>
          <w:szCs w:val="20"/>
          <w:lang w:val="sr-Cyrl-CS"/>
        </w:rPr>
        <w:t>до</w:t>
      </w:r>
      <w:r w:rsidRPr="00136A37">
        <w:rPr>
          <w:rFonts w:ascii="Verdana" w:hAnsi="Verdana"/>
          <w:sz w:val="20"/>
          <w:szCs w:val="20"/>
          <w:lang w:val="sr-Cyrl-RS"/>
        </w:rPr>
        <w:t xml:space="preserve"> </w:t>
      </w:r>
      <w:r w:rsidRPr="0072711E">
        <w:rPr>
          <w:rFonts w:ascii="Verdana" w:hAnsi="Verdana"/>
          <w:b/>
          <w:sz w:val="20"/>
          <w:szCs w:val="20"/>
          <w:lang w:val="sr-Cyrl-CS"/>
        </w:rPr>
        <w:t>01.06.202</w:t>
      </w:r>
      <w:r w:rsidRPr="00136A37">
        <w:rPr>
          <w:rFonts w:ascii="Verdana" w:hAnsi="Verdana"/>
          <w:b/>
          <w:sz w:val="20"/>
          <w:szCs w:val="20"/>
          <w:lang w:val="sr-Cyrl-RS"/>
        </w:rPr>
        <w:t>4</w:t>
      </w:r>
      <w:r w:rsidRPr="0072711E">
        <w:rPr>
          <w:rFonts w:ascii="Verdana" w:hAnsi="Verdana"/>
          <w:b/>
          <w:sz w:val="20"/>
          <w:szCs w:val="20"/>
          <w:lang w:val="sr-Cyrl-CS"/>
        </w:rPr>
        <w:t>.</w:t>
      </w:r>
      <w:r w:rsidRPr="0072711E">
        <w:rPr>
          <w:rFonts w:ascii="Verdana" w:hAnsi="Verdana"/>
          <w:color w:val="FF0000"/>
          <w:sz w:val="20"/>
          <w:szCs w:val="20"/>
          <w:lang w:val="sr-Cyrl-CS"/>
        </w:rPr>
        <w:t xml:space="preserve"> </w:t>
      </w:r>
      <w:r w:rsidRPr="0072711E">
        <w:rPr>
          <w:rFonts w:ascii="Verdana" w:hAnsi="Verdana"/>
          <w:sz w:val="20"/>
          <w:szCs w:val="20"/>
          <w:lang w:val="sr-Cyrl-CS"/>
        </w:rPr>
        <w:t>године</w:t>
      </w:r>
      <w:r w:rsidRPr="00136A37">
        <w:rPr>
          <w:rFonts w:ascii="Verdana" w:hAnsi="Verdana"/>
          <w:sz w:val="20"/>
          <w:szCs w:val="20"/>
          <w:lang w:val="sr-Cyrl-RS"/>
        </w:rPr>
        <w:t>.</w:t>
      </w:r>
    </w:p>
    <w:p w:rsidR="00C13507" w:rsidRPr="00136A37" w:rsidRDefault="00C13507" w:rsidP="00C13507">
      <w:pPr>
        <w:spacing w:line="218" w:lineRule="auto"/>
        <w:ind w:right="100" w:firstLine="720"/>
        <w:jc w:val="both"/>
        <w:rPr>
          <w:rFonts w:ascii="Verdana" w:hAnsi="Verdana"/>
          <w:sz w:val="20"/>
          <w:szCs w:val="20"/>
          <w:lang w:val="sr-Cyrl-CS"/>
        </w:rPr>
      </w:pPr>
    </w:p>
    <w:p w:rsidR="00C13507" w:rsidRPr="00136A37" w:rsidRDefault="00C13507" w:rsidP="007A4BDC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>Исплата бесповратних средстава</w:t>
      </w:r>
    </w:p>
    <w:p w:rsidR="00C13507" w:rsidRPr="00136A37" w:rsidRDefault="001E3AC8" w:rsidP="00C13507">
      <w:pPr>
        <w:jc w:val="center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Члан 15</w:t>
      </w:r>
      <w:r w:rsidR="00C13507" w:rsidRPr="00136A37">
        <w:rPr>
          <w:rFonts w:ascii="Verdana" w:hAnsi="Verdana"/>
          <w:sz w:val="20"/>
          <w:szCs w:val="20"/>
          <w:lang w:val="sr-Cyrl-RS"/>
        </w:rPr>
        <w:t>.</w:t>
      </w:r>
    </w:p>
    <w:p w:rsidR="00B61372" w:rsidRDefault="00B61372" w:rsidP="00B61372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>С</w:t>
      </w:r>
      <w:r w:rsidR="00C13507" w:rsidRPr="00136A37">
        <w:rPr>
          <w:rFonts w:ascii="Verdana" w:hAnsi="Verdana"/>
          <w:sz w:val="20"/>
          <w:szCs w:val="20"/>
          <w:lang w:val="sr-Cyrl-CS"/>
        </w:rPr>
        <w:t>редства по овом к</w:t>
      </w:r>
      <w:r>
        <w:rPr>
          <w:rFonts w:ascii="Verdana" w:hAnsi="Verdana"/>
          <w:sz w:val="20"/>
          <w:szCs w:val="20"/>
          <w:lang w:val="sr-Cyrl-CS"/>
        </w:rPr>
        <w:t xml:space="preserve">онкурсу додељују се бесповратно, </w:t>
      </w:r>
      <w:r w:rsidRPr="00136A37">
        <w:rPr>
          <w:rFonts w:ascii="Verdana" w:hAnsi="Verdana" w:cstheme="minorHAnsi"/>
          <w:sz w:val="20"/>
          <w:szCs w:val="20"/>
        </w:rPr>
        <w:t xml:space="preserve">у </w:t>
      </w:r>
      <w:r>
        <w:rPr>
          <w:rFonts w:ascii="Verdana" w:hAnsi="Verdana" w:cstheme="minorHAnsi"/>
          <w:sz w:val="20"/>
          <w:szCs w:val="20"/>
          <w:lang w:val="sr-Cyrl-RS"/>
        </w:rPr>
        <w:t>висини</w:t>
      </w:r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61372">
        <w:rPr>
          <w:rFonts w:ascii="Verdana" w:hAnsi="Verdana" w:cstheme="minorHAnsi"/>
          <w:sz w:val="20"/>
          <w:szCs w:val="20"/>
        </w:rPr>
        <w:t>до</w:t>
      </w:r>
      <w:proofErr w:type="spellEnd"/>
      <w:r w:rsidRPr="00B61372">
        <w:rPr>
          <w:rFonts w:ascii="Verdana" w:hAnsi="Verdana" w:cstheme="minorHAnsi"/>
          <w:sz w:val="20"/>
          <w:szCs w:val="20"/>
        </w:rPr>
        <w:t xml:space="preserve"> 100%</w:t>
      </w:r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од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укупно</w:t>
      </w:r>
      <w:proofErr w:type="spellEnd"/>
      <w:r w:rsidRPr="00136A3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36A37">
        <w:rPr>
          <w:rFonts w:ascii="Verdana" w:hAnsi="Verdana" w:cstheme="minorHAnsi"/>
          <w:sz w:val="20"/>
          <w:szCs w:val="20"/>
        </w:rPr>
        <w:t>при</w:t>
      </w:r>
      <w:r>
        <w:rPr>
          <w:rFonts w:ascii="Verdana" w:hAnsi="Verdana" w:cstheme="minorHAnsi"/>
          <w:sz w:val="20"/>
          <w:szCs w:val="20"/>
        </w:rPr>
        <w:t>хватљивих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трошкова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инвестиције</w:t>
      </w:r>
      <w:proofErr w:type="spellEnd"/>
      <w:r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>
        <w:rPr>
          <w:rFonts w:ascii="Verdana" w:hAnsi="Verdana" w:cstheme="minorHAnsi"/>
          <w:sz w:val="20"/>
          <w:szCs w:val="20"/>
        </w:rPr>
        <w:t>без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  <w:lang w:val="sr-Cyrl-RS"/>
        </w:rPr>
        <w:t xml:space="preserve">ПДВ-а. </w:t>
      </w:r>
    </w:p>
    <w:p w:rsidR="000647A1" w:rsidRPr="00B61372" w:rsidRDefault="00C13507" w:rsidP="00B61372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CS"/>
        </w:rPr>
        <w:t xml:space="preserve">Средства у вредности 100% </w:t>
      </w:r>
      <w:r w:rsidR="00B61372">
        <w:rPr>
          <w:rFonts w:ascii="Verdana" w:hAnsi="Verdana"/>
          <w:sz w:val="20"/>
          <w:szCs w:val="20"/>
          <w:lang w:val="sr-Cyrl-CS"/>
        </w:rPr>
        <w:t>додељеног износа биће исплаћена</w:t>
      </w:r>
      <w:r w:rsidR="007A4BDC" w:rsidRPr="00136A37">
        <w:rPr>
          <w:rFonts w:ascii="Verdana" w:hAnsi="Verdana"/>
          <w:sz w:val="20"/>
          <w:szCs w:val="20"/>
          <w:lang w:val="sr-Cyrl-CS"/>
        </w:rPr>
        <w:t xml:space="preserve"> локалним самоуправама</w:t>
      </w:r>
      <w:r w:rsidRPr="00136A37">
        <w:rPr>
          <w:rFonts w:ascii="Verdana" w:hAnsi="Verdana"/>
          <w:sz w:val="20"/>
          <w:szCs w:val="20"/>
          <w:lang w:val="sr-Cyrl-CS"/>
        </w:rPr>
        <w:t xml:space="preserve"> након закључења уговора након достаљања менице из претходног члана, а у складу с приливом</w:t>
      </w:r>
      <w:r w:rsidR="007A4BDC" w:rsidRPr="00136A37">
        <w:rPr>
          <w:rFonts w:ascii="Verdana" w:hAnsi="Verdana"/>
          <w:sz w:val="20"/>
          <w:szCs w:val="20"/>
          <w:lang w:val="sr-Cyrl-CS"/>
        </w:rPr>
        <w:t xml:space="preserve"> средстава у буџет АП Војводине.</w:t>
      </w:r>
    </w:p>
    <w:p w:rsidR="000647A1" w:rsidRPr="00136A37" w:rsidRDefault="000647A1" w:rsidP="000647A1">
      <w:pPr>
        <w:spacing w:line="218" w:lineRule="auto"/>
        <w:ind w:right="100" w:firstLine="720"/>
        <w:jc w:val="both"/>
        <w:rPr>
          <w:rFonts w:ascii="Verdana" w:eastAsia="Calibri" w:hAnsi="Verdana" w:cs="Arial"/>
          <w:sz w:val="20"/>
          <w:szCs w:val="20"/>
          <w:lang w:val="sr-Latn-RS" w:eastAsia="sr-Latn-RS"/>
        </w:rPr>
      </w:pPr>
    </w:p>
    <w:p w:rsidR="00C13507" w:rsidRPr="00E93B45" w:rsidRDefault="00C13507" w:rsidP="00C13507">
      <w:pPr>
        <w:spacing w:line="218" w:lineRule="auto"/>
        <w:ind w:right="100" w:firstLine="720"/>
        <w:jc w:val="center"/>
        <w:rPr>
          <w:rFonts w:ascii="Verdana" w:eastAsia="Calibri" w:hAnsi="Verdana" w:cs="Arial"/>
          <w:b/>
          <w:sz w:val="20"/>
          <w:szCs w:val="20"/>
          <w:lang w:val="sr-Latn-RS" w:eastAsia="sr-Latn-RS"/>
        </w:rPr>
      </w:pPr>
      <w:r w:rsidRPr="00E93B45">
        <w:rPr>
          <w:rFonts w:ascii="Verdana" w:eastAsia="Calibri" w:hAnsi="Verdana" w:cs="Calibri"/>
          <w:b/>
          <w:sz w:val="20"/>
          <w:szCs w:val="20"/>
          <w:lang w:val="sr-Cyrl-RS" w:eastAsia="sr-Latn-RS"/>
        </w:rPr>
        <w:t>Правдање уговорених средстава</w:t>
      </w:r>
    </w:p>
    <w:p w:rsidR="00C13507" w:rsidRPr="001E3AC8" w:rsidRDefault="001E3AC8" w:rsidP="001E3AC8">
      <w:pPr>
        <w:jc w:val="center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Члан 16</w:t>
      </w:r>
      <w:r w:rsidR="00C13507" w:rsidRPr="00136A37">
        <w:rPr>
          <w:rFonts w:ascii="Verdana" w:hAnsi="Verdana"/>
          <w:sz w:val="20"/>
          <w:szCs w:val="20"/>
          <w:lang w:val="sr-Cyrl-RS"/>
        </w:rPr>
        <w:t>.</w:t>
      </w:r>
    </w:p>
    <w:p w:rsidR="00DF1A35" w:rsidRPr="00136A37" w:rsidRDefault="007A4BDC" w:rsidP="00DF1A35">
      <w:pPr>
        <w:spacing w:line="218" w:lineRule="auto"/>
        <w:ind w:right="100" w:firstLine="720"/>
        <w:rPr>
          <w:rFonts w:ascii="Verdana" w:eastAsia="Calibri" w:hAnsi="Verdana" w:cs="Calibri"/>
          <w:sz w:val="20"/>
          <w:szCs w:val="20"/>
          <w:lang w:val="sr-Cyrl-RS" w:eastAsia="sr-Latn-RS"/>
        </w:rPr>
      </w:pPr>
      <w:r w:rsidRPr="00136A37">
        <w:rPr>
          <w:rFonts w:ascii="Verdana" w:eastAsia="Calibri" w:hAnsi="Verdana" w:cs="Calibri"/>
          <w:sz w:val="20"/>
          <w:szCs w:val="20"/>
          <w:lang w:val="sr-Cyrl-RS" w:eastAsia="sr-Latn-RS"/>
        </w:rPr>
        <w:t xml:space="preserve">Корисник средства је дужан </w:t>
      </w:r>
      <w:r w:rsidR="00136A37" w:rsidRPr="00136A37">
        <w:rPr>
          <w:rFonts w:ascii="Verdana" w:eastAsia="Calibri" w:hAnsi="Verdana" w:cs="Calibri"/>
          <w:sz w:val="20"/>
          <w:szCs w:val="20"/>
          <w:lang w:val="sr-Cyrl-RS" w:eastAsia="sr-Latn-RS"/>
        </w:rPr>
        <w:t>да</w:t>
      </w:r>
      <w:r w:rsidRPr="00136A37">
        <w:rPr>
          <w:rFonts w:ascii="Verdana" w:eastAsia="Calibri" w:hAnsi="Verdana" w:cs="Calibri"/>
          <w:sz w:val="20"/>
          <w:szCs w:val="20"/>
          <w:lang w:val="sr-Cyrl-RS" w:eastAsia="sr-Latn-RS"/>
        </w:rPr>
        <w:t xml:space="preserve"> Покрајинском секретаријат</w:t>
      </w:r>
      <w:r w:rsidR="00136A37" w:rsidRPr="00136A37">
        <w:rPr>
          <w:rFonts w:ascii="Verdana" w:eastAsia="Calibri" w:hAnsi="Verdana" w:cs="Calibri"/>
          <w:sz w:val="20"/>
          <w:szCs w:val="20"/>
          <w:lang w:val="sr-Cyrl-RS" w:eastAsia="sr-Latn-RS"/>
        </w:rPr>
        <w:t>у доста</w:t>
      </w:r>
      <w:r w:rsidRPr="00136A37">
        <w:rPr>
          <w:rFonts w:ascii="Verdana" w:eastAsia="Calibri" w:hAnsi="Verdana" w:cs="Calibri"/>
          <w:sz w:val="20"/>
          <w:szCs w:val="20"/>
          <w:lang w:val="sr-Cyrl-RS" w:eastAsia="sr-Latn-RS"/>
        </w:rPr>
        <w:t>ви:</w:t>
      </w:r>
    </w:p>
    <w:p w:rsidR="00DF1A35" w:rsidRPr="00136A37" w:rsidRDefault="00BB47D4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документација</w:t>
      </w:r>
      <w:r w:rsidR="00DF1A35" w:rsidRPr="00136A37">
        <w:rPr>
          <w:rFonts w:ascii="Verdana" w:hAnsi="Verdana"/>
          <w:sz w:val="20"/>
          <w:szCs w:val="20"/>
          <w:lang w:val="sr-Cyrl-CS"/>
        </w:rPr>
        <w:t xml:space="preserve">  у вези са јавним набавкама и то:</w:t>
      </w:r>
    </w:p>
    <w:p w:rsidR="000022F5" w:rsidRPr="00136A37" w:rsidRDefault="00DF1A35" w:rsidP="000022F5">
      <w:pPr>
        <w:spacing w:after="0" w:line="240" w:lineRule="auto"/>
        <w:ind w:left="1440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О</w:t>
      </w:r>
      <w:r w:rsidR="00BB47D4" w:rsidRPr="00136A37">
        <w:rPr>
          <w:rFonts w:ascii="Verdana" w:hAnsi="Verdana"/>
          <w:sz w:val="20"/>
          <w:szCs w:val="20"/>
          <w:lang w:val="sr-Cyrl-CS"/>
        </w:rPr>
        <w:t>длука</w:t>
      </w:r>
      <w:r w:rsidRPr="00136A37">
        <w:rPr>
          <w:rFonts w:ascii="Verdana" w:hAnsi="Verdana"/>
          <w:sz w:val="20"/>
          <w:szCs w:val="20"/>
          <w:lang w:val="sr-Cyrl-CS"/>
        </w:rPr>
        <w:t xml:space="preserve"> о покретању поступка јавне набавке, јавни позив са </w:t>
      </w:r>
      <w:r w:rsidR="000022F5" w:rsidRPr="00136A37">
        <w:rPr>
          <w:rFonts w:ascii="Verdana" w:hAnsi="Verdana"/>
          <w:sz w:val="20"/>
          <w:szCs w:val="20"/>
          <w:lang w:val="sr-Cyrl-CS"/>
        </w:rPr>
        <w:t>портала</w:t>
      </w:r>
      <w:r w:rsidR="00BB47D4" w:rsidRPr="00136A37">
        <w:rPr>
          <w:rFonts w:ascii="Verdana" w:hAnsi="Verdana"/>
          <w:sz w:val="20"/>
          <w:szCs w:val="20"/>
          <w:lang w:val="sr-Cyrl-CS"/>
        </w:rPr>
        <w:t xml:space="preserve"> УЈН, одлука</w:t>
      </w:r>
      <w:r w:rsidRPr="00136A37">
        <w:rPr>
          <w:rFonts w:ascii="Verdana" w:hAnsi="Verdana"/>
          <w:sz w:val="20"/>
          <w:szCs w:val="20"/>
          <w:lang w:val="sr-Cyrl-CS"/>
        </w:rPr>
        <w:t xml:space="preserve"> о додели уговора, примерак уговора са извршиоцем уклањања дивљих депонија (у даљем тексту: Извршилац) са доказом о објави обавештења о закљученом уговору, односно, уколико није дужан по Закону о јавним набавкама да спроводи поступак јавне набавке да поднесе основ по ком је ослобођен уз документацију којом то доказује, </w:t>
      </w:r>
    </w:p>
    <w:p w:rsidR="00DF1A35" w:rsidRPr="00136A37" w:rsidRDefault="00DF1A35" w:rsidP="000022F5">
      <w:pPr>
        <w:pStyle w:val="ListParagraph"/>
        <w:numPr>
          <w:ilvl w:val="0"/>
          <w:numId w:val="7"/>
        </w:numPr>
        <w:spacing w:after="0" w:line="240" w:lineRule="auto"/>
        <w:ind w:left="1434" w:hanging="357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Копиј</w:t>
      </w:r>
      <w:r w:rsidR="00BB47D4" w:rsidRPr="00136A37">
        <w:rPr>
          <w:rFonts w:ascii="Verdana" w:hAnsi="Verdana"/>
          <w:sz w:val="20"/>
          <w:szCs w:val="20"/>
          <w:lang w:val="sr-Cyrl-CS"/>
        </w:rPr>
        <w:t>а</w:t>
      </w:r>
      <w:r w:rsidRPr="00136A37">
        <w:rPr>
          <w:rFonts w:ascii="Verdana" w:hAnsi="Verdana"/>
          <w:sz w:val="20"/>
          <w:szCs w:val="20"/>
          <w:lang w:val="sr-Cyrl-CS"/>
        </w:rPr>
        <w:t xml:space="preserve"> дозволе за транспорт отпада која гласи на име Извршиоца посла,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Latn-RS"/>
        </w:rPr>
      </w:pPr>
      <w:r w:rsidRPr="00136A37">
        <w:rPr>
          <w:rFonts w:ascii="Verdana" w:hAnsi="Verdana"/>
          <w:sz w:val="20"/>
          <w:szCs w:val="20"/>
          <w:lang w:val="sr-Cyrl-CS"/>
        </w:rPr>
        <w:t xml:space="preserve">Копију уговора о одлагању отпада између Извршиоца и </w:t>
      </w:r>
      <w:r w:rsidR="000F5250" w:rsidRPr="00136A37">
        <w:rPr>
          <w:rFonts w:ascii="Verdana" w:hAnsi="Verdana"/>
          <w:sz w:val="20"/>
          <w:szCs w:val="20"/>
          <w:lang w:val="sr-Cyrl-CS"/>
        </w:rPr>
        <w:t>О</w:t>
      </w:r>
      <w:r w:rsidRPr="00136A37">
        <w:rPr>
          <w:rFonts w:ascii="Verdana" w:hAnsi="Verdana"/>
          <w:sz w:val="20"/>
          <w:szCs w:val="20"/>
          <w:lang w:val="sr-Cyrl-CS"/>
        </w:rPr>
        <w:t>ператера</w:t>
      </w:r>
      <w:r w:rsidRPr="00136A37">
        <w:rPr>
          <w:rFonts w:ascii="Verdana" w:hAnsi="Verdana"/>
          <w:sz w:val="20"/>
          <w:szCs w:val="20"/>
          <w:lang w:val="en-US"/>
        </w:rPr>
        <w:t xml:space="preserve"> </w:t>
      </w:r>
      <w:r w:rsidRPr="00136A37">
        <w:rPr>
          <w:rFonts w:ascii="Verdana" w:hAnsi="Verdana"/>
          <w:sz w:val="20"/>
          <w:szCs w:val="20"/>
          <w:lang w:val="sr-Cyrl-CS"/>
        </w:rPr>
        <w:t xml:space="preserve">који управља депонијом </w:t>
      </w:r>
      <w:r w:rsidR="00882D69" w:rsidRPr="00136A37">
        <w:rPr>
          <w:rFonts w:ascii="Verdana" w:hAnsi="Verdana"/>
          <w:sz w:val="20"/>
          <w:szCs w:val="20"/>
          <w:lang w:val="sr-Cyrl-CS"/>
        </w:rPr>
        <w:t>(у даљем тексту: Оператер)</w:t>
      </w:r>
      <w:r w:rsidRPr="00136A37">
        <w:rPr>
          <w:rFonts w:ascii="Verdana" w:hAnsi="Verdana"/>
          <w:sz w:val="20"/>
          <w:szCs w:val="20"/>
        </w:rPr>
        <w:t xml:space="preserve"> </w:t>
      </w:r>
      <w:r w:rsidRPr="00136A37">
        <w:rPr>
          <w:rFonts w:ascii="Verdana" w:hAnsi="Verdana"/>
          <w:sz w:val="20"/>
          <w:szCs w:val="20"/>
          <w:lang w:val="sr-Cyrl-CS"/>
        </w:rPr>
        <w:t>на коју се отпад одлаже</w:t>
      </w:r>
      <w:r w:rsidRPr="00136A37">
        <w:rPr>
          <w:rFonts w:ascii="Verdana" w:hAnsi="Verdana"/>
          <w:sz w:val="20"/>
          <w:szCs w:val="20"/>
          <w:lang w:val="sr-Latn-RS"/>
        </w:rPr>
        <w:t xml:space="preserve"> (овај уговор се не доставља уколико је за Извршиоца изабран Оператер)</w:t>
      </w:r>
      <w:r w:rsidRPr="00136A37">
        <w:rPr>
          <w:rFonts w:ascii="Verdana" w:hAnsi="Verdana"/>
          <w:sz w:val="20"/>
          <w:szCs w:val="20"/>
          <w:lang w:val="sr-Cyrl-RS"/>
        </w:rPr>
        <w:t>,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lastRenderedPageBreak/>
        <w:t xml:space="preserve">копију важећег ценовника </w:t>
      </w:r>
      <w:r w:rsidR="000F5250" w:rsidRPr="00136A37">
        <w:rPr>
          <w:rFonts w:ascii="Verdana" w:hAnsi="Verdana"/>
          <w:sz w:val="20"/>
          <w:szCs w:val="20"/>
          <w:lang w:val="sr-Cyrl-CS"/>
        </w:rPr>
        <w:t>О</w:t>
      </w:r>
      <w:r w:rsidRPr="00136A37">
        <w:rPr>
          <w:rFonts w:ascii="Verdana" w:hAnsi="Verdana"/>
          <w:sz w:val="20"/>
          <w:szCs w:val="20"/>
          <w:lang w:val="sr-Cyrl-CS"/>
        </w:rPr>
        <w:t xml:space="preserve">ператера. Ценовник треба да је важећи на дан закључења уговора између Корисника средстава и </w:t>
      </w:r>
      <w:r w:rsidRPr="00136A37">
        <w:rPr>
          <w:rFonts w:ascii="Verdana" w:hAnsi="Verdana"/>
          <w:sz w:val="20"/>
          <w:szCs w:val="20"/>
          <w:lang w:val="sr-Cyrl-RS"/>
        </w:rPr>
        <w:t>Извршиоца</w:t>
      </w:r>
      <w:r w:rsidRPr="00136A37">
        <w:rPr>
          <w:rFonts w:ascii="Verdana" w:hAnsi="Verdana"/>
          <w:sz w:val="20"/>
          <w:szCs w:val="20"/>
          <w:lang w:val="sr-Cyrl-CS"/>
        </w:rPr>
        <w:t>,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копију уговора са надзорним органом,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 xml:space="preserve">копију лиценце надзорног органа издате од стране Инжињерске коморе Србије, 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Копију окончане ситуације</w:t>
      </w:r>
      <w:r w:rsidR="00336E6E" w:rsidRPr="00136A37">
        <w:rPr>
          <w:rFonts w:ascii="Verdana" w:hAnsi="Verdana"/>
          <w:sz w:val="20"/>
          <w:szCs w:val="20"/>
          <w:lang w:val="sr-Cyrl-CS"/>
        </w:rPr>
        <w:t xml:space="preserve"> са обрачуном извршених радова. </w:t>
      </w:r>
      <w:r w:rsidR="00395AED" w:rsidRPr="00136A37">
        <w:rPr>
          <w:rFonts w:ascii="Verdana" w:hAnsi="Verdana"/>
          <w:sz w:val="20"/>
          <w:szCs w:val="20"/>
          <w:lang w:val="sr-Cyrl-CS"/>
        </w:rPr>
        <w:t xml:space="preserve">Окончана ситуација и обрачун извршених радова треба да буду </w:t>
      </w:r>
      <w:r w:rsidRPr="00136A37">
        <w:rPr>
          <w:rFonts w:ascii="Verdana" w:hAnsi="Verdana"/>
          <w:sz w:val="20"/>
          <w:szCs w:val="20"/>
          <w:lang w:val="sr-Cyrl-CS"/>
        </w:rPr>
        <w:t>оверен</w:t>
      </w:r>
      <w:r w:rsidR="00395AED" w:rsidRPr="00136A37">
        <w:rPr>
          <w:rFonts w:ascii="Verdana" w:hAnsi="Verdana"/>
          <w:sz w:val="20"/>
          <w:szCs w:val="20"/>
          <w:lang w:val="sr-Cyrl-CS"/>
        </w:rPr>
        <w:t>и</w:t>
      </w:r>
      <w:r w:rsidRPr="00136A37">
        <w:rPr>
          <w:rFonts w:ascii="Verdana" w:hAnsi="Verdana"/>
          <w:sz w:val="20"/>
          <w:szCs w:val="20"/>
          <w:lang w:val="sr-Cyrl-CS"/>
        </w:rPr>
        <w:t xml:space="preserve"> шестоугаоним печатом и потписом надзорног органа, Извршиоца и </w:t>
      </w:r>
      <w:r w:rsidR="000F5250" w:rsidRPr="00136A37">
        <w:rPr>
          <w:rFonts w:ascii="Verdana" w:hAnsi="Verdana"/>
          <w:sz w:val="20"/>
          <w:szCs w:val="20"/>
          <w:lang w:val="sr-Cyrl-CS"/>
        </w:rPr>
        <w:t>надлежног комуналног инспектора или инспектора за заштиту животне средине</w:t>
      </w:r>
      <w:r w:rsidRPr="00136A37">
        <w:rPr>
          <w:rFonts w:ascii="Verdana" w:hAnsi="Verdana"/>
          <w:sz w:val="20"/>
          <w:szCs w:val="20"/>
          <w:lang w:val="sr-Cyrl-CS"/>
        </w:rPr>
        <w:t xml:space="preserve"> (обавезни елементи ситуација треба да буду катастарска општина и број катастарске парцеле са које се дивља депонија уклања,  катастарска општина и број катастарске парцеле на коју је отпад одложен, јединична цена за </w:t>
      </w:r>
      <w:r w:rsidRPr="00136A37">
        <w:rPr>
          <w:rFonts w:ascii="Verdana" w:hAnsi="Verdana"/>
          <w:sz w:val="20"/>
          <w:szCs w:val="20"/>
          <w:lang w:val="sr-Cyrl-RS"/>
        </w:rPr>
        <w:t>примарну сепарацију или други третман отпада</w:t>
      </w:r>
      <w:r w:rsidRPr="00136A37">
        <w:rPr>
          <w:rFonts w:ascii="Verdana" w:hAnsi="Verdana"/>
          <w:sz w:val="20"/>
          <w:szCs w:val="20"/>
          <w:lang w:val="sr-Cyrl-CS"/>
        </w:rPr>
        <w:t>, утовар, транспорт и одлагање отпада, количина утовареног, транспортованог и одложеног отпада и укупна вредност извршеног посла),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Потврда о примљеној количини отпада у</w:t>
      </w:r>
      <w:r w:rsidR="00882D69" w:rsidRPr="00136A37">
        <w:rPr>
          <w:rFonts w:ascii="Verdana" w:hAnsi="Verdana"/>
          <w:sz w:val="20"/>
          <w:szCs w:val="20"/>
          <w:lang w:val="sr-Cyrl-CS"/>
        </w:rPr>
        <w:t xml:space="preserve"> „тонама“ и</w:t>
      </w:r>
      <w:r w:rsidRPr="00136A37">
        <w:rPr>
          <w:rFonts w:ascii="Verdana" w:hAnsi="Verdana"/>
          <w:sz w:val="20"/>
          <w:szCs w:val="20"/>
          <w:lang w:val="sr-Cyrl-CS"/>
        </w:rPr>
        <w:t xml:space="preserve"> </w:t>
      </w:r>
      <w:r w:rsidR="00882D69" w:rsidRPr="00136A37">
        <w:rPr>
          <w:rFonts w:ascii="Verdana" w:hAnsi="Verdana"/>
          <w:sz w:val="20"/>
          <w:szCs w:val="20"/>
          <w:lang w:val="sr-Cyrl-CS"/>
        </w:rPr>
        <w:t>„</w:t>
      </w:r>
      <w:r w:rsidR="00BD2E64" w:rsidRPr="00136A37">
        <w:rPr>
          <w:rFonts w:ascii="Verdana" w:hAnsi="Verdana"/>
          <w:sz w:val="20"/>
          <w:szCs w:val="20"/>
          <w:lang w:val="en-US"/>
        </w:rPr>
        <w:t>M</w:t>
      </w:r>
      <w:r w:rsidRPr="00136A37">
        <w:rPr>
          <w:rFonts w:ascii="Verdana" w:hAnsi="Verdana"/>
          <w:sz w:val="20"/>
          <w:szCs w:val="20"/>
          <w:vertAlign w:val="superscript"/>
          <w:lang w:val="sr-Cyrl-CS"/>
        </w:rPr>
        <w:t>3</w:t>
      </w:r>
      <w:r w:rsidR="00882D69" w:rsidRPr="00136A37">
        <w:rPr>
          <w:rFonts w:ascii="Verdana" w:hAnsi="Verdana"/>
          <w:sz w:val="20"/>
          <w:szCs w:val="20"/>
          <w:vertAlign w:val="superscript"/>
          <w:lang w:val="sr-Cyrl-CS"/>
        </w:rPr>
        <w:t>“</w:t>
      </w:r>
      <w:r w:rsidRPr="00136A37">
        <w:rPr>
          <w:rFonts w:ascii="Verdana" w:hAnsi="Verdana"/>
          <w:sz w:val="20"/>
          <w:szCs w:val="20"/>
          <w:lang w:val="sr-Cyrl-CS"/>
        </w:rPr>
        <w:t xml:space="preserve"> на депонију</w:t>
      </w:r>
      <w:r w:rsidRPr="00136A37">
        <w:rPr>
          <w:rFonts w:ascii="Verdana" w:hAnsi="Verdana"/>
          <w:sz w:val="20"/>
          <w:szCs w:val="20"/>
          <w:lang w:val="en-US"/>
        </w:rPr>
        <w:t xml:space="preserve"> </w:t>
      </w:r>
      <w:r w:rsidRPr="00136A37">
        <w:rPr>
          <w:rFonts w:ascii="Verdana" w:hAnsi="Verdana"/>
          <w:sz w:val="20"/>
          <w:szCs w:val="20"/>
          <w:lang w:val="sr-Cyrl-CS"/>
        </w:rPr>
        <w:t xml:space="preserve">издата од стране Оператера </w:t>
      </w:r>
    </w:p>
    <w:p w:rsidR="00DF1A35" w:rsidRPr="00136A37" w:rsidRDefault="00DF1A35" w:rsidP="00DF1A3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136A37">
        <w:rPr>
          <w:rFonts w:ascii="Verdana" w:hAnsi="Verdana"/>
          <w:sz w:val="20"/>
          <w:szCs w:val="20"/>
          <w:lang w:val="sr-Cyrl-CS"/>
        </w:rPr>
        <w:t>копије извода промене стања на рачуну Корисника средстава за извршено плаћање на реализацији предмета из члана 1 овог уговора,</w:t>
      </w:r>
    </w:p>
    <w:p w:rsidR="00DF1A35" w:rsidRDefault="00DF1A35" w:rsidP="007A4BDC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B61372">
        <w:rPr>
          <w:rFonts w:ascii="Verdana" w:hAnsi="Verdana"/>
          <w:sz w:val="20"/>
          <w:szCs w:val="20"/>
          <w:lang w:val="sr-Cyrl-CS"/>
        </w:rPr>
        <w:t>Остала документација</w:t>
      </w:r>
      <w:r w:rsidRPr="00136A37">
        <w:rPr>
          <w:rFonts w:ascii="Verdana" w:hAnsi="Verdana"/>
          <w:sz w:val="20"/>
          <w:szCs w:val="20"/>
          <w:lang w:val="sr-Cyrl-CS"/>
        </w:rPr>
        <w:t xml:space="preserve"> од значаја за правдање средстава, која са доставља на захтев Даваоца средстава.</w:t>
      </w:r>
    </w:p>
    <w:p w:rsidR="001E3AC8" w:rsidRPr="00136A37" w:rsidRDefault="001E3AC8" w:rsidP="001E3AC8">
      <w:pPr>
        <w:spacing w:after="0" w:line="240" w:lineRule="auto"/>
        <w:ind w:left="1440"/>
        <w:jc w:val="both"/>
        <w:rPr>
          <w:rFonts w:ascii="Verdana" w:hAnsi="Verdana"/>
          <w:sz w:val="20"/>
          <w:szCs w:val="20"/>
          <w:lang w:val="sr-Cyrl-CS"/>
        </w:rPr>
      </w:pPr>
    </w:p>
    <w:p w:rsidR="000647A1" w:rsidRPr="00136A37" w:rsidRDefault="007A4BDC" w:rsidP="007A4BDC">
      <w:pPr>
        <w:jc w:val="both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 xml:space="preserve">Додељена средства се правдају документацијом и радовима који потичу након датума закључења уговора између Секретаријата и Корисника средстава. </w:t>
      </w:r>
    </w:p>
    <w:p w:rsidR="002C5F44" w:rsidRPr="00136A37" w:rsidRDefault="002C5F44" w:rsidP="002C5F44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 xml:space="preserve">Праћење </w:t>
      </w:r>
      <w:r w:rsidRPr="00136A37">
        <w:rPr>
          <w:rFonts w:ascii="Verdana" w:hAnsi="Verdana"/>
          <w:b/>
          <w:sz w:val="20"/>
          <w:szCs w:val="20"/>
          <w:lang w:val="sr-Cyrl-CS"/>
        </w:rPr>
        <w:t>извршавања</w:t>
      </w:r>
      <w:r w:rsidRPr="00136A37">
        <w:rPr>
          <w:rFonts w:ascii="Verdana" w:hAnsi="Verdana"/>
          <w:b/>
          <w:sz w:val="20"/>
          <w:szCs w:val="20"/>
          <w:lang w:val="sr-Cyrl-RS"/>
        </w:rPr>
        <w:t xml:space="preserve"> уговора</w:t>
      </w:r>
    </w:p>
    <w:p w:rsidR="002C5F44" w:rsidRPr="00136A37" w:rsidRDefault="001E3AC8" w:rsidP="002C5F44">
      <w:pPr>
        <w:jc w:val="center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Члан 17</w:t>
      </w:r>
      <w:r w:rsidR="002C5F44" w:rsidRPr="00136A37">
        <w:rPr>
          <w:rFonts w:ascii="Verdana" w:hAnsi="Verdana"/>
          <w:sz w:val="20"/>
          <w:szCs w:val="20"/>
          <w:lang w:val="sr-Cyrl-CS"/>
        </w:rPr>
        <w:t>.</w:t>
      </w:r>
    </w:p>
    <w:p w:rsidR="00136A37" w:rsidRPr="00136A37" w:rsidRDefault="00136A37" w:rsidP="00136A37">
      <w:pPr>
        <w:spacing w:after="0" w:line="240" w:lineRule="auto"/>
        <w:ind w:firstLine="567"/>
        <w:jc w:val="both"/>
        <w:rPr>
          <w:rFonts w:ascii="Verdana" w:eastAsia="Times New Roman" w:hAnsi="Verdana" w:cstheme="minorHAnsi"/>
          <w:sz w:val="20"/>
          <w:szCs w:val="20"/>
          <w:lang w:val="sr-Cyrl-CS" w:eastAsia="sr-Cyrl-CS"/>
        </w:rPr>
      </w:pPr>
      <w:r w:rsidRPr="00136A37">
        <w:rPr>
          <w:rFonts w:ascii="Verdana" w:eastAsia="Times New Roman" w:hAnsi="Verdana" w:cstheme="minorHAnsi"/>
          <w:sz w:val="20"/>
          <w:szCs w:val="20"/>
          <w:lang w:val="sr-Cyrl-CS" w:eastAsia="sr-Cyrl-CS"/>
        </w:rPr>
        <w:t>Контролу примене закона у области материјално-финансијског пословања, наменског и законитог коришћења дозначених средстава и предузимање мера, вршиће надлежна буџетска инспекција, a Корисник средстава је дужан да служби надлежне буџетске инспекције омогући несметану контролу наменског и законитог коришћења добијених средстава.</w:t>
      </w:r>
    </w:p>
    <w:p w:rsidR="00136A37" w:rsidRPr="00136A37" w:rsidRDefault="00136A37" w:rsidP="00136A37">
      <w:pPr>
        <w:spacing w:after="0" w:line="240" w:lineRule="auto"/>
        <w:ind w:firstLine="567"/>
        <w:jc w:val="both"/>
        <w:rPr>
          <w:rFonts w:ascii="Verdana" w:eastAsia="Times New Roman" w:hAnsi="Verdana" w:cstheme="minorHAnsi"/>
          <w:sz w:val="20"/>
          <w:szCs w:val="20"/>
          <w:lang w:val="en-US" w:eastAsia="sr-Cyrl-CS"/>
        </w:rPr>
      </w:pPr>
      <w:r w:rsidRPr="00136A37"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 xml:space="preserve">Покрајински секретаријат задржава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право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да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,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поред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Буџетске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инспекције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,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врши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увид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у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реализацију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предмета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овог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уговора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, а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Корисник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средстава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је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дужан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да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омогући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представнику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r w:rsidRPr="00136A37"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>Покрајинског секретаријата</w:t>
      </w:r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увид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у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реализацију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 xml:space="preserve"> </w:t>
      </w:r>
      <w:proofErr w:type="spellStart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уговора</w:t>
      </w:r>
      <w:proofErr w:type="spellEnd"/>
      <w:r w:rsidRPr="00136A37">
        <w:rPr>
          <w:rFonts w:ascii="Verdana" w:eastAsia="Times New Roman" w:hAnsi="Verdana" w:cstheme="minorHAnsi"/>
          <w:sz w:val="20"/>
          <w:szCs w:val="20"/>
          <w:lang w:val="en-US" w:eastAsia="sr-Cyrl-CS"/>
        </w:rPr>
        <w:t>.</w:t>
      </w:r>
    </w:p>
    <w:p w:rsidR="00136A37" w:rsidRPr="00136A37" w:rsidRDefault="00136A37" w:rsidP="00136A37">
      <w:pPr>
        <w:spacing w:after="0" w:line="240" w:lineRule="auto"/>
        <w:ind w:firstLine="567"/>
        <w:jc w:val="both"/>
        <w:rPr>
          <w:rFonts w:ascii="Verdana" w:eastAsia="Times New Roman" w:hAnsi="Verdana" w:cstheme="minorHAnsi"/>
          <w:sz w:val="20"/>
          <w:szCs w:val="20"/>
          <w:lang w:val="sr-Cyrl-RS" w:eastAsia="sr-Cyrl-CS"/>
        </w:rPr>
      </w:pPr>
      <w:r w:rsidRPr="00136A37"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>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</w:t>
      </w:r>
      <w:r w:rsidRPr="00136A37">
        <w:rPr>
          <w:rFonts w:ascii="Verdana" w:eastAsia="Times New Roman" w:hAnsi="Verdana" w:cstheme="minorHAnsi"/>
          <w:sz w:val="20"/>
          <w:szCs w:val="20"/>
          <w:lang w:eastAsia="sr-Cyrl-CS"/>
        </w:rPr>
        <w:t xml:space="preserve">, a </w:t>
      </w:r>
      <w:r w:rsidRPr="00136A37">
        <w:rPr>
          <w:rFonts w:ascii="Verdana" w:eastAsia="Times New Roman" w:hAnsi="Verdana" w:cstheme="minorHAnsi"/>
          <w:sz w:val="20"/>
          <w:szCs w:val="20"/>
          <w:lang w:val="sr-Cyrl-CS" w:eastAsia="sr-Cyrl-CS"/>
        </w:rPr>
        <w:t xml:space="preserve"> Корисник средстава је дужан да служби буџетске инспекције омогући несметану контролу наменског и законитог коришћења добијених средстава</w:t>
      </w:r>
      <w:r w:rsidRPr="00136A37"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>.</w:t>
      </w:r>
    </w:p>
    <w:p w:rsidR="00136A37" w:rsidRPr="00136A37" w:rsidRDefault="00136A37" w:rsidP="00136A37">
      <w:pPr>
        <w:spacing w:after="0" w:line="240" w:lineRule="auto"/>
        <w:ind w:firstLine="567"/>
        <w:jc w:val="both"/>
        <w:rPr>
          <w:rFonts w:ascii="Verdana" w:eastAsia="Times New Roman" w:hAnsi="Verdana" w:cstheme="minorHAnsi"/>
          <w:sz w:val="20"/>
          <w:szCs w:val="20"/>
          <w:lang w:val="sr-Cyrl-RS" w:eastAsia="sr-Cyrl-CS"/>
        </w:rPr>
      </w:pPr>
    </w:p>
    <w:p w:rsidR="00136A37" w:rsidRPr="00136A37" w:rsidRDefault="001E3AC8" w:rsidP="00136A37">
      <w:pPr>
        <w:spacing w:after="0" w:line="240" w:lineRule="auto"/>
        <w:ind w:firstLine="567"/>
        <w:jc w:val="center"/>
        <w:rPr>
          <w:rFonts w:ascii="Verdana" w:eastAsia="Times New Roman" w:hAnsi="Verdana" w:cstheme="minorHAnsi"/>
          <w:sz w:val="20"/>
          <w:szCs w:val="20"/>
          <w:lang w:val="sr-Cyrl-RS" w:eastAsia="sr-Cyrl-CS"/>
        </w:rPr>
      </w:pPr>
      <w:r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>Члан 18</w:t>
      </w:r>
      <w:r w:rsidR="00136A37" w:rsidRPr="00136A37">
        <w:rPr>
          <w:rFonts w:ascii="Verdana" w:eastAsia="Times New Roman" w:hAnsi="Verdana" w:cstheme="minorHAnsi"/>
          <w:sz w:val="20"/>
          <w:szCs w:val="20"/>
          <w:lang w:val="sr-Cyrl-RS" w:eastAsia="sr-Cyrl-CS"/>
        </w:rPr>
        <w:t>.</w:t>
      </w:r>
    </w:p>
    <w:p w:rsidR="007A4BDC" w:rsidRPr="00136A37" w:rsidRDefault="007A4BDC" w:rsidP="00136A37">
      <w:pPr>
        <w:spacing w:after="0" w:line="240" w:lineRule="auto"/>
        <w:rPr>
          <w:rFonts w:ascii="Verdana" w:hAnsi="Verdana" w:cs="Calibri"/>
          <w:sz w:val="20"/>
          <w:szCs w:val="20"/>
          <w:lang w:val="sr-Cyrl-CS"/>
        </w:rPr>
      </w:pPr>
    </w:p>
    <w:p w:rsidR="00136A37" w:rsidRPr="00136A37" w:rsidRDefault="002C5F44" w:rsidP="00136A37">
      <w:pPr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  <w:lang w:val="sr-Cyrl-CS"/>
        </w:rPr>
      </w:pPr>
      <w:r w:rsidRPr="00136A37">
        <w:rPr>
          <w:rFonts w:ascii="Verdana" w:hAnsi="Verdana" w:cs="Calibri"/>
          <w:sz w:val="20"/>
          <w:szCs w:val="20"/>
          <w:lang w:val="sr-Cyrl-CS"/>
        </w:rPr>
        <w:t>У случају неизвршавања уговорене обавезе</w:t>
      </w:r>
      <w:r w:rsidR="00136A37" w:rsidRPr="00136A37">
        <w:rPr>
          <w:rFonts w:ascii="Verdana" w:hAnsi="Verdana" w:cs="Calibri"/>
          <w:sz w:val="20"/>
          <w:szCs w:val="20"/>
          <w:lang w:val="sr-Cyrl-CS"/>
        </w:rPr>
        <w:t xml:space="preserve"> или ненаменског утрошка средстава</w:t>
      </w:r>
      <w:r w:rsidRPr="00136A37">
        <w:rPr>
          <w:rFonts w:ascii="Verdana" w:hAnsi="Verdana" w:cs="Calibri"/>
          <w:sz w:val="20"/>
          <w:szCs w:val="20"/>
          <w:lang w:val="sr-Cyrl-CS"/>
        </w:rPr>
        <w:t xml:space="preserve"> уговор ће се раскинути, а корисник средстава у обавези </w:t>
      </w:r>
      <w:r w:rsidR="00136A37" w:rsidRPr="00136A37">
        <w:rPr>
          <w:rFonts w:ascii="Verdana" w:hAnsi="Verdana" w:cs="Calibri"/>
          <w:sz w:val="20"/>
          <w:szCs w:val="20"/>
          <w:lang w:val="sr-Cyrl-CS"/>
        </w:rPr>
        <w:t>да</w:t>
      </w:r>
      <w:r w:rsidR="00136A37" w:rsidRPr="00136A37">
        <w:rPr>
          <w:rFonts w:ascii="Verdana" w:eastAsia="Times New Roman" w:hAnsi="Verdana" w:cstheme="minorHAnsi"/>
          <w:sz w:val="20"/>
          <w:szCs w:val="20"/>
          <w:lang w:val="sr-Cyrl-CS" w:eastAsia="sr-Cyrl-CS"/>
        </w:rPr>
        <w:t xml:space="preserve"> вратити целокупан износ исплаћених средстава, са законском затезном каматом, почевши од дана исплате средстава до дана враћања средстава. </w:t>
      </w:r>
    </w:p>
    <w:p w:rsidR="00136A37" w:rsidRPr="00136A37" w:rsidRDefault="00136A37" w:rsidP="00C63A4D">
      <w:pPr>
        <w:spacing w:after="0" w:line="240" w:lineRule="auto"/>
        <w:jc w:val="center"/>
        <w:rPr>
          <w:rFonts w:ascii="Verdana" w:hAnsi="Verdana" w:cs="Calibri"/>
          <w:sz w:val="20"/>
          <w:szCs w:val="20"/>
          <w:lang w:val="sr-Cyrl-CS"/>
        </w:rPr>
      </w:pPr>
    </w:p>
    <w:p w:rsidR="00C63A4D" w:rsidRPr="00136A37" w:rsidRDefault="00C63A4D" w:rsidP="00C63A4D">
      <w:pPr>
        <w:spacing w:after="0" w:line="240" w:lineRule="auto"/>
        <w:jc w:val="center"/>
        <w:rPr>
          <w:rFonts w:ascii="Verdana" w:hAnsi="Verdana" w:cs="Calibri"/>
          <w:sz w:val="20"/>
          <w:szCs w:val="20"/>
          <w:lang w:val="sr-Cyrl-CS"/>
        </w:rPr>
      </w:pPr>
    </w:p>
    <w:p w:rsidR="002C5F44" w:rsidRPr="00136A37" w:rsidRDefault="002C5F44" w:rsidP="00C63A4D">
      <w:pPr>
        <w:spacing w:after="0" w:line="240" w:lineRule="auto"/>
        <w:jc w:val="center"/>
        <w:rPr>
          <w:rFonts w:ascii="Verdana" w:hAnsi="Verdana" w:cs="Calibri"/>
          <w:sz w:val="20"/>
          <w:szCs w:val="20"/>
          <w:lang w:val="sr-Cyrl-CS"/>
        </w:rPr>
      </w:pPr>
      <w:r w:rsidRPr="00136A37">
        <w:rPr>
          <w:rFonts w:ascii="Verdana" w:hAnsi="Verdana"/>
          <w:b/>
          <w:sz w:val="20"/>
          <w:szCs w:val="20"/>
          <w:lang w:val="sr-Cyrl-RS"/>
        </w:rPr>
        <w:t>Завршне одредбе</w:t>
      </w:r>
    </w:p>
    <w:p w:rsidR="002C5F44" w:rsidRPr="00136A37" w:rsidRDefault="002C5F44" w:rsidP="002C5F44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2C5F44" w:rsidRPr="00136A37" w:rsidRDefault="002C5F44" w:rsidP="002C5F44">
      <w:pPr>
        <w:jc w:val="center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 xml:space="preserve">Члан </w:t>
      </w:r>
      <w:r w:rsidR="001E3AC8">
        <w:rPr>
          <w:rFonts w:ascii="Verdana" w:hAnsi="Verdana"/>
          <w:sz w:val="20"/>
          <w:szCs w:val="20"/>
          <w:lang w:val="sr-Cyrl-CS"/>
        </w:rPr>
        <w:t>19</w:t>
      </w:r>
      <w:r w:rsidRPr="00136A37">
        <w:rPr>
          <w:rFonts w:ascii="Verdana" w:hAnsi="Verdana"/>
          <w:sz w:val="20"/>
          <w:szCs w:val="20"/>
          <w:lang w:val="sr-Cyrl-RS"/>
        </w:rPr>
        <w:t>.</w:t>
      </w:r>
    </w:p>
    <w:p w:rsidR="002C5F44" w:rsidRPr="00136A37" w:rsidRDefault="002C5F44" w:rsidP="002C5F44">
      <w:pPr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RS"/>
        </w:rPr>
        <w:t>Правилник ступа на снагу даном објављивања у „Службеном листу Аутономне покрајине Војводине”</w:t>
      </w:r>
      <w:r w:rsidRPr="00136A37">
        <w:rPr>
          <w:rFonts w:ascii="Verdana" w:hAnsi="Verdana"/>
          <w:sz w:val="20"/>
          <w:szCs w:val="20"/>
          <w:lang w:val="sr-Cyrl-CS"/>
        </w:rPr>
        <w:t>.</w:t>
      </w:r>
    </w:p>
    <w:p w:rsidR="002C5F44" w:rsidRPr="00136A37" w:rsidRDefault="002C5F44" w:rsidP="00741386">
      <w:pPr>
        <w:rPr>
          <w:rFonts w:ascii="Verdana" w:hAnsi="Verdana"/>
          <w:b/>
          <w:sz w:val="20"/>
          <w:szCs w:val="20"/>
        </w:rPr>
      </w:pPr>
    </w:p>
    <w:p w:rsidR="002C5F44" w:rsidRPr="00136A37" w:rsidRDefault="002C5F44" w:rsidP="005B0A8B">
      <w:pPr>
        <w:spacing w:after="0" w:line="240" w:lineRule="auto"/>
        <w:rPr>
          <w:rFonts w:ascii="Verdana" w:hAnsi="Verdana"/>
          <w:sz w:val="20"/>
          <w:szCs w:val="20"/>
          <w:lang w:val="sr-Latn-RS"/>
        </w:rPr>
      </w:pPr>
      <w:r w:rsidRPr="00136A37">
        <w:rPr>
          <w:rFonts w:ascii="Verdana" w:hAnsi="Verdana"/>
          <w:sz w:val="20"/>
          <w:szCs w:val="20"/>
          <w:lang w:val="sr-Cyrl-CS"/>
        </w:rPr>
        <w:t>Бр: 104-401-</w:t>
      </w:r>
      <w:r w:rsidR="00E57D4C" w:rsidRPr="00136A37">
        <w:rPr>
          <w:rFonts w:ascii="Verdana" w:hAnsi="Verdana"/>
          <w:sz w:val="20"/>
          <w:szCs w:val="20"/>
          <w:lang w:val="sr-Latn-RS"/>
        </w:rPr>
        <w:t>8832</w:t>
      </w:r>
      <w:r w:rsidRPr="00136A37">
        <w:rPr>
          <w:rFonts w:ascii="Verdana" w:hAnsi="Verdana"/>
          <w:sz w:val="20"/>
          <w:szCs w:val="20"/>
          <w:lang w:val="sr-Cyrl-CS"/>
        </w:rPr>
        <w:t>/2023</w:t>
      </w:r>
      <w:r w:rsidR="00E57D4C" w:rsidRPr="00136A37">
        <w:rPr>
          <w:rFonts w:ascii="Verdana" w:hAnsi="Verdana"/>
          <w:sz w:val="20"/>
          <w:szCs w:val="20"/>
          <w:lang w:val="sr-Latn-RS"/>
        </w:rPr>
        <w:t>-</w:t>
      </w:r>
      <w:r w:rsidR="00F43301" w:rsidRPr="00136A37">
        <w:rPr>
          <w:rFonts w:ascii="Verdana" w:hAnsi="Verdana"/>
          <w:sz w:val="20"/>
          <w:szCs w:val="20"/>
          <w:lang w:val="sr-Latn-RS"/>
        </w:rPr>
        <w:t>1</w:t>
      </w:r>
    </w:p>
    <w:p w:rsidR="002C5F44" w:rsidRPr="00136A37" w:rsidRDefault="002C5F44" w:rsidP="005B0A8B">
      <w:pPr>
        <w:spacing w:after="0" w:line="240" w:lineRule="auto"/>
        <w:rPr>
          <w:rFonts w:ascii="Verdana" w:hAnsi="Verdana"/>
          <w:sz w:val="20"/>
          <w:szCs w:val="20"/>
          <w:lang w:val="sr-Cyrl-RS"/>
        </w:rPr>
      </w:pPr>
      <w:r w:rsidRPr="00136A37">
        <w:rPr>
          <w:rFonts w:ascii="Verdana" w:hAnsi="Verdana"/>
          <w:sz w:val="20"/>
          <w:szCs w:val="20"/>
          <w:lang w:val="sr-Cyrl-CS"/>
        </w:rPr>
        <w:t xml:space="preserve">Дана  </w:t>
      </w:r>
      <w:r w:rsidR="001E3AC8">
        <w:rPr>
          <w:rFonts w:ascii="Verdana" w:hAnsi="Verdana"/>
          <w:sz w:val="20"/>
          <w:szCs w:val="20"/>
          <w:lang w:val="en-US"/>
        </w:rPr>
        <w:t>20</w:t>
      </w:r>
      <w:r w:rsidR="005B0A8B" w:rsidRPr="00136A37">
        <w:rPr>
          <w:rFonts w:ascii="Verdana" w:hAnsi="Verdana"/>
          <w:sz w:val="20"/>
          <w:szCs w:val="20"/>
          <w:lang w:val="sr-Cyrl-RS"/>
        </w:rPr>
        <w:t>.09</w:t>
      </w:r>
      <w:r w:rsidRPr="00136A37">
        <w:rPr>
          <w:rFonts w:ascii="Verdana" w:hAnsi="Verdana"/>
          <w:sz w:val="20"/>
          <w:szCs w:val="20"/>
          <w:lang w:val="sr-Cyrl-RS"/>
        </w:rPr>
        <w:t>.</w:t>
      </w:r>
      <w:r w:rsidRPr="00136A37">
        <w:rPr>
          <w:rFonts w:ascii="Verdana" w:hAnsi="Verdana"/>
          <w:sz w:val="20"/>
          <w:szCs w:val="20"/>
          <w:lang w:val="sr-Cyrl-CS"/>
        </w:rPr>
        <w:t xml:space="preserve">2023. </w:t>
      </w:r>
      <w:r w:rsidRPr="00136A37">
        <w:rPr>
          <w:rFonts w:ascii="Verdana" w:hAnsi="Verdana"/>
          <w:sz w:val="20"/>
          <w:szCs w:val="20"/>
          <w:lang w:val="sr-Cyrl-RS"/>
        </w:rPr>
        <w:t>године</w:t>
      </w:r>
    </w:p>
    <w:p w:rsidR="002C5F44" w:rsidRPr="00136A37" w:rsidRDefault="002C5F44" w:rsidP="002C5F44">
      <w:pPr>
        <w:rPr>
          <w:rFonts w:ascii="Verdana" w:hAnsi="Verdana"/>
          <w:sz w:val="20"/>
          <w:szCs w:val="20"/>
          <w:lang w:val="sr-Cyrl-RS"/>
        </w:rPr>
      </w:pPr>
    </w:p>
    <w:p w:rsidR="002C5F44" w:rsidRPr="00136A37" w:rsidRDefault="002C5F44" w:rsidP="002C5F44">
      <w:pPr>
        <w:ind w:firstLine="5103"/>
        <w:jc w:val="center"/>
        <w:rPr>
          <w:rFonts w:ascii="Verdana" w:eastAsia="Calibri" w:hAnsi="Verdana"/>
          <w:b/>
          <w:sz w:val="20"/>
          <w:szCs w:val="20"/>
          <w:lang w:val="sr-Cyrl-CS"/>
        </w:rPr>
      </w:pPr>
    </w:p>
    <w:p w:rsidR="002C5F44" w:rsidRPr="00136A37" w:rsidRDefault="002C5F44" w:rsidP="002C5F44">
      <w:pPr>
        <w:spacing w:after="0" w:line="240" w:lineRule="auto"/>
        <w:ind w:firstLine="5103"/>
        <w:jc w:val="center"/>
        <w:rPr>
          <w:rFonts w:ascii="Verdana" w:eastAsia="Calibri" w:hAnsi="Verdana"/>
          <w:b/>
          <w:sz w:val="20"/>
          <w:szCs w:val="20"/>
          <w:lang w:val="sr-Cyrl-CS"/>
        </w:rPr>
      </w:pPr>
      <w:r w:rsidRPr="00136A37">
        <w:rPr>
          <w:rFonts w:ascii="Verdana" w:eastAsia="Calibri" w:hAnsi="Verdana"/>
          <w:b/>
          <w:sz w:val="20"/>
          <w:szCs w:val="20"/>
          <w:lang w:val="sr-Cyrl-CS"/>
        </w:rPr>
        <w:lastRenderedPageBreak/>
        <w:t>Покрајински секретар</w:t>
      </w:r>
    </w:p>
    <w:p w:rsidR="002C5F44" w:rsidRPr="00136A37" w:rsidRDefault="002C5F44" w:rsidP="002C5F44">
      <w:pPr>
        <w:spacing w:after="0" w:line="240" w:lineRule="auto"/>
        <w:ind w:firstLine="5103"/>
        <w:jc w:val="center"/>
        <w:rPr>
          <w:rFonts w:ascii="Verdana" w:eastAsia="Calibri" w:hAnsi="Verdana"/>
          <w:b/>
          <w:sz w:val="20"/>
          <w:szCs w:val="20"/>
          <w:lang w:val="sr-Cyrl-RS"/>
        </w:rPr>
      </w:pPr>
      <w:r w:rsidRPr="00136A37">
        <w:rPr>
          <w:rFonts w:ascii="Verdana" w:eastAsia="Calibri" w:hAnsi="Verdana"/>
          <w:b/>
          <w:sz w:val="20"/>
          <w:szCs w:val="20"/>
          <w:lang w:val="sr-Cyrl-RS"/>
        </w:rPr>
        <w:t>Владимир Галић</w:t>
      </w:r>
    </w:p>
    <w:p w:rsidR="002C5F44" w:rsidRPr="00136A37" w:rsidRDefault="002C5F44" w:rsidP="00130FFF">
      <w:pPr>
        <w:jc w:val="center"/>
        <w:rPr>
          <w:rFonts w:ascii="Verdana" w:hAnsi="Verdana"/>
          <w:b/>
          <w:sz w:val="20"/>
          <w:szCs w:val="20"/>
        </w:rPr>
      </w:pPr>
    </w:p>
    <w:sectPr w:rsidR="002C5F44" w:rsidRPr="00136A37" w:rsidSect="002F3649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51"/>
    <w:multiLevelType w:val="hybridMultilevel"/>
    <w:tmpl w:val="B798B864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D2598"/>
    <w:multiLevelType w:val="hybridMultilevel"/>
    <w:tmpl w:val="C43CC2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3C5A0B"/>
    <w:multiLevelType w:val="hybridMultilevel"/>
    <w:tmpl w:val="5378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56A4"/>
    <w:multiLevelType w:val="hybridMultilevel"/>
    <w:tmpl w:val="1C9AA5D2"/>
    <w:lvl w:ilvl="0" w:tplc="AAD2DE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3B91"/>
    <w:multiLevelType w:val="hybridMultilevel"/>
    <w:tmpl w:val="D61C9032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E61AC"/>
    <w:multiLevelType w:val="multilevel"/>
    <w:tmpl w:val="05C45E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77AB"/>
    <w:multiLevelType w:val="hybridMultilevel"/>
    <w:tmpl w:val="59BCEC86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D739B"/>
    <w:multiLevelType w:val="hybridMultilevel"/>
    <w:tmpl w:val="C2B8A606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9"/>
    <w:rsid w:val="0000011C"/>
    <w:rsid w:val="000022F5"/>
    <w:rsid w:val="000647A1"/>
    <w:rsid w:val="000828A3"/>
    <w:rsid w:val="000F3808"/>
    <w:rsid w:val="000F5250"/>
    <w:rsid w:val="00130FFF"/>
    <w:rsid w:val="00136A37"/>
    <w:rsid w:val="00143B3E"/>
    <w:rsid w:val="00193916"/>
    <w:rsid w:val="001D345D"/>
    <w:rsid w:val="001E3AC8"/>
    <w:rsid w:val="00241E59"/>
    <w:rsid w:val="002435BC"/>
    <w:rsid w:val="002C5F44"/>
    <w:rsid w:val="002F18C5"/>
    <w:rsid w:val="002F3649"/>
    <w:rsid w:val="00315623"/>
    <w:rsid w:val="00322E98"/>
    <w:rsid w:val="00336E6E"/>
    <w:rsid w:val="003665E4"/>
    <w:rsid w:val="0038356F"/>
    <w:rsid w:val="00395AED"/>
    <w:rsid w:val="003E3DAB"/>
    <w:rsid w:val="003F2CDC"/>
    <w:rsid w:val="0040487A"/>
    <w:rsid w:val="004C1545"/>
    <w:rsid w:val="00501ABD"/>
    <w:rsid w:val="00544FA9"/>
    <w:rsid w:val="0057160E"/>
    <w:rsid w:val="00584A5B"/>
    <w:rsid w:val="005B0A8B"/>
    <w:rsid w:val="005C78BB"/>
    <w:rsid w:val="00620470"/>
    <w:rsid w:val="00633831"/>
    <w:rsid w:val="006362AD"/>
    <w:rsid w:val="006815CF"/>
    <w:rsid w:val="006D594B"/>
    <w:rsid w:val="006F72A8"/>
    <w:rsid w:val="006F7A67"/>
    <w:rsid w:val="00702D00"/>
    <w:rsid w:val="00714A43"/>
    <w:rsid w:val="0072711E"/>
    <w:rsid w:val="007305D9"/>
    <w:rsid w:val="00741386"/>
    <w:rsid w:val="007713B9"/>
    <w:rsid w:val="0079341D"/>
    <w:rsid w:val="007A4002"/>
    <w:rsid w:val="007A4BDC"/>
    <w:rsid w:val="007C023F"/>
    <w:rsid w:val="007C3243"/>
    <w:rsid w:val="007D49E9"/>
    <w:rsid w:val="007F00F6"/>
    <w:rsid w:val="007F26A1"/>
    <w:rsid w:val="008103E3"/>
    <w:rsid w:val="00814B0B"/>
    <w:rsid w:val="00842BCC"/>
    <w:rsid w:val="008773AF"/>
    <w:rsid w:val="00882D69"/>
    <w:rsid w:val="008B714D"/>
    <w:rsid w:val="009B3D46"/>
    <w:rsid w:val="00A5567E"/>
    <w:rsid w:val="00AB375B"/>
    <w:rsid w:val="00B61372"/>
    <w:rsid w:val="00B62319"/>
    <w:rsid w:val="00B95B94"/>
    <w:rsid w:val="00BA6E3A"/>
    <w:rsid w:val="00BB47D4"/>
    <w:rsid w:val="00BD01D1"/>
    <w:rsid w:val="00BD2E64"/>
    <w:rsid w:val="00C00FCB"/>
    <w:rsid w:val="00C10163"/>
    <w:rsid w:val="00C13507"/>
    <w:rsid w:val="00C322FA"/>
    <w:rsid w:val="00C63A4D"/>
    <w:rsid w:val="00CA439A"/>
    <w:rsid w:val="00CF1DE9"/>
    <w:rsid w:val="00D043CB"/>
    <w:rsid w:val="00D1004B"/>
    <w:rsid w:val="00D12394"/>
    <w:rsid w:val="00D17870"/>
    <w:rsid w:val="00D50A2A"/>
    <w:rsid w:val="00D8536C"/>
    <w:rsid w:val="00DD0BAC"/>
    <w:rsid w:val="00DF1A35"/>
    <w:rsid w:val="00E07993"/>
    <w:rsid w:val="00E271C5"/>
    <w:rsid w:val="00E55336"/>
    <w:rsid w:val="00E57D4C"/>
    <w:rsid w:val="00E93B45"/>
    <w:rsid w:val="00EB30C9"/>
    <w:rsid w:val="00F25565"/>
    <w:rsid w:val="00F43301"/>
    <w:rsid w:val="00F54628"/>
    <w:rsid w:val="00FA026F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CAA18-9474-4D01-9A38-9A306DF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C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3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D9"/>
    <w:pPr>
      <w:ind w:left="720"/>
      <w:contextualSpacing/>
    </w:pPr>
  </w:style>
  <w:style w:type="table" w:styleId="TableGrid">
    <w:name w:val="Table Grid"/>
    <w:basedOn w:val="TableNormal"/>
    <w:uiPriority w:val="59"/>
    <w:rsid w:val="0013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qFormat/>
    <w:rsid w:val="00584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DC62-B2D0-4EC2-B96B-45BD9BBF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Orelj</dc:creator>
  <cp:lastModifiedBy>BOBAN MILOSAVLJEVIC</cp:lastModifiedBy>
  <cp:revision>2</cp:revision>
  <cp:lastPrinted>2023-09-21T12:36:00Z</cp:lastPrinted>
  <dcterms:created xsi:type="dcterms:W3CDTF">2023-09-21T20:33:00Z</dcterms:created>
  <dcterms:modified xsi:type="dcterms:W3CDTF">2023-09-21T20:33:00Z</dcterms:modified>
</cp:coreProperties>
</file>