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880687" w:rsidTr="009E6744">
        <w:trPr>
          <w:trHeight w:val="1833"/>
        </w:trPr>
        <w:tc>
          <w:tcPr>
            <w:tcW w:w="13036" w:type="dxa"/>
            <w:hideMark/>
          </w:tcPr>
          <w:p w:rsidR="009F2DFE" w:rsidRPr="00A55FD4" w:rsidRDefault="009F2DFE" w:rsidP="009E67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9F2DFE" w:rsidRPr="00880687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 ИЗВ</w:t>
            </w:r>
            <w:r w:rsidR="00803184"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ШТАЈ О РАДУ </w:t>
            </w:r>
            <w:r w:rsidR="007E56F0" w:rsidRPr="001D0F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ПОКРАЈИНСКЕ </w:t>
            </w: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ШУ</w:t>
            </w:r>
            <w:r w:rsidR="00A55FD4"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</w:t>
            </w:r>
            <w:r w:rsidR="00457377"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АРСКЕ И ЛОВНЕ ИНСПЕКЦИЈЕ ЗА 2022</w:t>
            </w: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ГОДИНУ</w:t>
            </w:r>
          </w:p>
          <w:p w:rsidR="001B3E90" w:rsidRPr="00880687" w:rsidRDefault="001B3E9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E0F28" w:rsidRPr="00880687" w:rsidRDefault="0047503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1)</w:t>
            </w:r>
            <w:r w:rsidR="006F6D72"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8E0F28"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Превентивно деловање инспекције</w:t>
            </w:r>
          </w:p>
          <w:p w:rsidR="001B3E90" w:rsidRPr="00880687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F2A6E" w:rsidRPr="00880687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спречених или битно умањених вероватних настанака штетних последица по законом заштићена добра, права и интересе 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огледа се кроз превентивно деловање инспекције. </w:t>
            </w:r>
            <w:r w:rsidR="009709F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Покрајинска ш</w:t>
            </w:r>
            <w:r w:rsidR="009A4C5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377D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марска</w:t>
            </w:r>
            <w:r w:rsidR="00FE6F5B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73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ловна инспекција је током 2022</w:t>
            </w:r>
            <w:r w:rsidR="008377D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шумарства и ловства и подзаконских аката и у случају ненадлежности упућивала надзиране субјекте на надлежне органе.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377D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 о инспекцијском надзору, а ради постизања циља инспекцијског надзора, у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току 2</w:t>
            </w:r>
            <w:r w:rsidR="004573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</w:t>
            </w:r>
            <w:r w:rsidR="00A55FD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 шумарска и ловна инспекција извршила је </w:t>
            </w:r>
            <w:r w:rsidR="00A2211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</w:t>
            </w:r>
            <w:r w:rsidR="00C2452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службен</w:t>
            </w:r>
            <w:r w:rsidR="00222D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саветодавн</w:t>
            </w:r>
            <w:r w:rsidR="00222D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посет</w:t>
            </w:r>
            <w:r w:rsidR="00222D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FE6F5B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донела укупно  </w:t>
            </w:r>
            <w:r w:rsidR="00A2211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D591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305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</w:t>
            </w:r>
            <w:r w:rsidR="00F91F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9094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допис</w:t>
            </w:r>
            <w:r w:rsidR="00353F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9094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</w:t>
            </w:r>
            <w:r w:rsidR="00DF2A6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препорука</w:t>
            </w:r>
            <w:r w:rsidR="0059094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="008E0F2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отклањање уочених неправилности</w:t>
            </w:r>
            <w:r w:rsidR="009709F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F2DFE" w:rsidRPr="00880687" w:rsidRDefault="00DF2A6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Оваквим радом шумарска и ловна инспекција је </w:t>
            </w:r>
            <w:r w:rsidR="001B3E9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деловала превентивно пружајући стручну и саветодавну подршку надзираним субјектима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уважавајући права </w:t>
            </w:r>
            <w:r w:rsidR="00353F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интересе надзираних субјеката.</w:t>
            </w:r>
          </w:p>
          <w:p w:rsidR="001B3E90" w:rsidRPr="00880687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2681"/>
        </w:trPr>
        <w:tc>
          <w:tcPr>
            <w:tcW w:w="13036" w:type="dxa"/>
            <w:hideMark/>
          </w:tcPr>
          <w:p w:rsidR="001B3E90" w:rsidRPr="00880687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2)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-Обавештавањ</w:t>
            </w:r>
            <w:r w:rsidR="009F2DFE"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јавности, пружањ</w:t>
            </w:r>
            <w:r w:rsidR="009F2DFE"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</w:p>
          <w:p w:rsidR="00AA0972" w:rsidRPr="00880687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880687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Обавештавањ</w:t>
            </w: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јавности, пружањ</w:t>
            </w: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</w:t>
            </w:r>
            <w:r w:rsidR="00C2452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  <w:r w:rsidR="00FD591A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% од укупног броја контрола</w:t>
            </w:r>
            <w:r w:rsidR="009709F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(Прилог 1</w:t>
            </w:r>
            <w:r w:rsidR="009D7F2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.)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Облици ових активности манифестовали су се кроз превентивни инспекцијски надзор,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  <w:p w:rsidR="00E94CD5" w:rsidRPr="00E94CD5" w:rsidRDefault="00E94CD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0972" w:rsidRPr="00880687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9F17EC" w:rsidTr="009709F2">
        <w:trPr>
          <w:trHeight w:val="132"/>
        </w:trPr>
        <w:tc>
          <w:tcPr>
            <w:tcW w:w="13036" w:type="dxa"/>
            <w:hideMark/>
          </w:tcPr>
          <w:p w:rsidR="00A61DED" w:rsidRPr="00880687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3)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</w:t>
            </w:r>
          </w:p>
          <w:p w:rsidR="00A61DED" w:rsidRPr="00880687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D7F2A" w:rsidRPr="00880687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Шумарска и ловна инспекција у складу са Законом о инспекцијском надзору контролне листе корис</w:t>
            </w:r>
            <w:r w:rsidR="00F973B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кад врши редовне надзоре</w:t>
            </w:r>
            <w:r w:rsidR="0043070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 202</w:t>
            </w:r>
            <w:r w:rsidR="004573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 укупо су извршена </w:t>
            </w:r>
            <w:r w:rsidR="00FD591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293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редовна инспекцијска надзора</w:t>
            </w:r>
            <w:r w:rsidR="009A4C5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D591A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359</w:t>
            </w:r>
            <w:r w:rsidR="00C24527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96979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ванредних</w:t>
            </w:r>
            <w:r w:rsidR="0049697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B04D08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нспекцијских надзора, </w:t>
            </w:r>
            <w:r w:rsidR="009D7F2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(Прилог </w:t>
            </w:r>
            <w:r w:rsidR="009709F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33A0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.).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F69F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Редовни инспекцијски надзори вршени су према контролним листама за одређене области надзора, које су</w:t>
            </w:r>
            <w:r w:rsidR="00FD591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објављене на сајту Покрајинског секретаријата за пољопривреду,водопривреду и шумарство</w:t>
            </w:r>
            <w:r w:rsidR="008F69F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 потреби се ажурирају.</w:t>
            </w:r>
          </w:p>
          <w:p w:rsidR="00F973B5" w:rsidRPr="00880687" w:rsidRDefault="009D7F2A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Највећи број редовних контрола по Закону о шумама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178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001A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8F69F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вршен је</w:t>
            </w:r>
            <w:r w:rsidR="0025178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контролним листама:</w:t>
            </w:r>
          </w:p>
          <w:p w:rsidR="0062448F" w:rsidRPr="00880687" w:rsidRDefault="0062448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973B5" w:rsidRPr="00880687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Гајење шума КЛ-005-0</w:t>
            </w:r>
            <w:r w:rsidR="00C6558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</w:t>
            </w:r>
            <w:r w:rsidR="00C6558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F973B5" w:rsidRPr="00880687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Коришћење шума КЛ-006-0</w:t>
            </w:r>
            <w:r w:rsidR="00C6558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</w:t>
            </w:r>
            <w:r w:rsidR="00C6558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Pr="009F17EC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F47912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4)</w:t>
            </w:r>
            <w:r w:rsidR="009F2DFE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F47912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Корективно деловање инспекције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001A18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Број откривених и отклоњених или битно умањених насталих штетних последица по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законом заштићена добра, права и интересе, огледа се</w:t>
            </w:r>
            <w:r w:rsidR="00A55FD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77">
              <w:rPr>
                <w:rFonts w:ascii="Times New Roman" w:hAnsi="Times New Roman" w:cs="Times New Roman"/>
                <w:sz w:val="24"/>
                <w:szCs w:val="24"/>
              </w:rPr>
              <w:t>кроз број донетих решења. У 2022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. години шумарска и лов</w:t>
            </w:r>
            <w:r w:rsidR="006F6784" w:rsidRPr="00B123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донела је </w:t>
            </w:r>
            <w:r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укупно </w:t>
            </w:r>
            <w:r w:rsidR="00A2211A" w:rsidRPr="001D0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 w:rsidRPr="00B12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1A">
              <w:rPr>
                <w:rFonts w:ascii="Times New Roman" w:hAnsi="Times New Roman" w:cs="Times New Roman"/>
                <w:sz w:val="24"/>
                <w:szCs w:val="24"/>
              </w:rPr>
              <w:t xml:space="preserve">о отклањању недостатака,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из Закона о шумама </w:t>
            </w:r>
            <w:r w:rsidR="00FD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Овакво поступање инспекције усмерено је у правцу спречавања или битног умањивања вероватног настанка штетних последица по законом заштићена природна добра, права и интересе.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811E3F" w:rsidRDefault="006F6D72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-Број утврђених нерегистрованих субјеката и мерe спроведенe према њима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457377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току 2022</w:t>
            </w:r>
            <w:r w:rsidR="00575606">
              <w:rPr>
                <w:rFonts w:ascii="Times New Roman" w:hAnsi="Times New Roman" w:cs="Times New Roman"/>
                <w:sz w:val="24"/>
                <w:szCs w:val="24"/>
              </w:rPr>
              <w:t xml:space="preserve">. године </w:t>
            </w:r>
            <w:r w:rsidR="00575606" w:rsidRPr="001D0FAB">
              <w:rPr>
                <w:rFonts w:ascii="Times New Roman" w:hAnsi="Times New Roman" w:cs="Times New Roman"/>
                <w:sz w:val="24"/>
                <w:szCs w:val="24"/>
              </w:rPr>
              <w:t>утврђен</w:t>
            </w:r>
            <w:r w:rsidR="00AB7ED5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1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 нерегистровани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субјекат</w:t>
            </w:r>
            <w:r w:rsidR="00E8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 xml:space="preserve"> коме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 наложен упис у одговарајући ре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 Ради се о нерегистрованом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стоваришту ѕа продају огревног дрвета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, који је  након наложених мера уписан 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у одговарјући р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19"/>
        </w:trPr>
        <w:tc>
          <w:tcPr>
            <w:tcW w:w="13036" w:type="dxa"/>
            <w:hideMark/>
          </w:tcPr>
          <w:p w:rsidR="0071407B" w:rsidRDefault="00CF5676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предузетe ради уједначавања праксе инспекцијског надзора и њихово дејствo</w:t>
            </w:r>
          </w:p>
          <w:p w:rsidR="0071407B" w:rsidRDefault="0071407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BB9" w:rsidRDefault="008201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у циљу уједначавања 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шумарских и ловних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редовним инспекцијским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надзорима коришћене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>контролне листе, које</w:t>
            </w:r>
            <w:r w:rsidR="00457377">
              <w:rPr>
                <w:rFonts w:ascii="Times New Roman" w:hAnsi="Times New Roman" w:cs="Times New Roman"/>
                <w:sz w:val="24"/>
                <w:szCs w:val="24"/>
              </w:rPr>
              <w:t xml:space="preserve"> се налазе на сајту Покрајинског секретаријата за пољопривреду,водопривреду и шумарство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доступне су свим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потребе самоконтроле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 се два пута годишње преиспитују на састанцима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7BB9" w:rsidRDefault="00B04D08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Редовно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се одржавају састанци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ма се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уједначава рад инспектора на терену,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што даје зад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ољава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јуће резултате.</w:t>
            </w:r>
          </w:p>
          <w:p w:rsidR="003D773E" w:rsidRPr="009F17EC" w:rsidRDefault="003D773E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877BB9" w:rsidRDefault="0069167A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7)</w:t>
            </w:r>
            <w:r w:rsidR="009F2DFE"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      </w:r>
          </w:p>
          <w:p w:rsidR="00877BB9" w:rsidRDefault="00877BB9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обавез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прописаном у члану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10. Закона о инспекцијском надзору, сачињен је Годишњи план инспекцијског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шумарске и ловне инспекције</w:t>
            </w:r>
            <w:r w:rsidR="00457377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. годину, који је одобрен од стране Координационе комисије Владе РС. </w:t>
            </w:r>
          </w:p>
          <w:p w:rsidR="002E0E6B" w:rsidRPr="001D0FA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лан инспекцијског надзора </w:t>
            </w:r>
            <w:r w:rsidR="00227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573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годину,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по врстама инспекцијског надзора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 xml:space="preserve"> приказан је </w:t>
            </w:r>
            <w:r w:rsidR="009414FE" w:rsidRPr="007B151E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="00877DEE">
              <w:rPr>
                <w:rFonts w:ascii="Times New Roman" w:hAnsi="Times New Roman" w:cs="Times New Roman"/>
                <w:sz w:val="24"/>
                <w:szCs w:val="24"/>
              </w:rPr>
              <w:t>рилогу 2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извршење по врстама инспек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 xml:space="preserve">цијског надзора приказано је у </w:t>
            </w:r>
            <w:r w:rsidR="009414FE" w:rsidRPr="001D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DEE" w:rsidRPr="001D0FAB">
              <w:rPr>
                <w:rFonts w:ascii="Times New Roman" w:hAnsi="Times New Roman" w:cs="Times New Roman"/>
                <w:sz w:val="24"/>
                <w:szCs w:val="24"/>
              </w:rPr>
              <w:t>рилогу 1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606" w:rsidRPr="00542A21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AB">
              <w:rPr>
                <w:rFonts w:ascii="Times New Roman" w:hAnsi="Times New Roman" w:cs="Times New Roman"/>
                <w:sz w:val="24"/>
                <w:szCs w:val="24"/>
              </w:rPr>
              <w:t>Укупно планир</w:t>
            </w:r>
            <w:r w:rsidR="00457377" w:rsidRPr="001D0FAB">
              <w:rPr>
                <w:rFonts w:ascii="Times New Roman" w:hAnsi="Times New Roman" w:cs="Times New Roman"/>
                <w:sz w:val="24"/>
                <w:szCs w:val="24"/>
              </w:rPr>
              <w:t>ани број надзора у 2022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. години био је </w:t>
            </w:r>
            <w:r w:rsidR="00AB7ED5" w:rsidRPr="001D0FA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извршено је 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укупно </w:t>
            </w:r>
            <w:r w:rsidR="007E207C" w:rsidRPr="001D0FAB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AB7ED5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>надз</w:t>
            </w:r>
            <w:r w:rsidR="006824DE" w:rsidRPr="001D0FA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B4686" w:rsidRPr="001D0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4D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B4686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86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односно </w:t>
            </w:r>
            <w:r w:rsidR="00E86778" w:rsidRP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106</w:t>
            </w:r>
            <w:r w:rsidR="00AB7ED5" w:rsidRPr="001D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7A" w:rsidRPr="001D0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од планираног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24DE" w:rsidRPr="001D0FAB" w:rsidRDefault="006824DE" w:rsidP="009E674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 о инспекцијском надзору</w:t>
            </w:r>
            <w:r w:rsidR="00912C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шумарска </w:t>
            </w:r>
            <w:r w:rsidR="004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ловна инспекција је током 2022</w:t>
            </w:r>
            <w:r w:rsid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 имала већи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912C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ванредног инспекцијског надз</w:t>
            </w:r>
            <w:r w:rsid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ора </w:t>
            </w:r>
            <w:r w:rsid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="001D0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 је последица већег броја </w:t>
            </w:r>
            <w:r w:rsid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захтева надзираних субјеката као и представки упућених овој инспекцији.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5" w:rsidRPr="009F17EC" w:rsidRDefault="00D0461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841"/>
        </w:trPr>
        <w:tc>
          <w:tcPr>
            <w:tcW w:w="13036" w:type="dxa"/>
            <w:hideMark/>
          </w:tcPr>
          <w:p w:rsidR="004C6D34" w:rsidRDefault="00606DA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8)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координације инспекцијског надзора са инспекцијским надзором кога врше друге инспекције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3D6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D6" w:rsidRDefault="00853DE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Најчешћа сарадња шумарске и ловне инспекције </w:t>
            </w:r>
            <w:r w:rsidR="00457377">
              <w:rPr>
                <w:rFonts w:ascii="Times New Roman" w:hAnsi="Times New Roman" w:cs="Times New Roman"/>
                <w:sz w:val="24"/>
                <w:szCs w:val="24"/>
              </w:rPr>
              <w:t>у току 2022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била је са Министарством унутрашњих послова и чуварима шума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Јавних предузећа,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сецишта и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промета дрвета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и ветеринаском инспекцијом због појаве Афричке куге свиња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,као и птичијег грипа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поводом чега су се одржавале редовне акције као и састанци са корисницима ловишта.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Поред ове сарадње вршен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а је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и заједничк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акциј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промета дрвета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 Акционим планом за спровођење националног програма за сузбијање си</w:t>
            </w:r>
            <w:r w:rsidR="00227A22">
              <w:rPr>
                <w:rFonts w:ascii="Times New Roman" w:hAnsi="Times New Roman" w:cs="Times New Roman"/>
                <w:sz w:val="24"/>
                <w:szCs w:val="24"/>
              </w:rPr>
              <w:t>ве економије</w:t>
            </w:r>
            <w:r w:rsid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Pr="004C6D3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C" w:rsidRPr="00880687" w:rsidTr="009E6744">
        <w:trPr>
          <w:trHeight w:val="1406"/>
        </w:trPr>
        <w:tc>
          <w:tcPr>
            <w:tcW w:w="13036" w:type="dxa"/>
            <w:hideMark/>
          </w:tcPr>
          <w:p w:rsidR="004153D6" w:rsidRPr="00522EE5" w:rsidRDefault="00606DA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</w:t>
            </w:r>
          </w:p>
          <w:p w:rsidR="000F4F38" w:rsidRDefault="000F4F3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03" w:rsidRPr="00EC09BC" w:rsidRDefault="00EC09BC" w:rsidP="009E67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За 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реализацију годишњег плана инспекцијског надзора шумарским и ловним инспект</w:t>
            </w:r>
            <w:r w:rsidR="009414FE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рима обезбеђена су службена возила</w:t>
            </w:r>
            <w:r w:rsidR="000F4F38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потребна количина горива за обављање инспекцијског надзора. 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Техничка опремњеност инспектора није на задовољавајућем нивоу али се приступило обнови старих рачунара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набавци потребне опреме</w:t>
            </w:r>
          </w:p>
          <w:p w:rsidR="00FC166E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Одељењу шумарске и ловне инспекције </w:t>
            </w:r>
            <w:r w:rsidR="00606DA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систе</w:t>
            </w:r>
            <w:r w:rsidR="00342F1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матизацији предвиђен</w:t>
            </w:r>
            <w:r w:rsidR="00192B5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42F1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92B5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="00342F1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73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42F1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</w:t>
            </w:r>
            <w:r w:rsidR="00606DA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92B5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606DA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места</w:t>
            </w:r>
            <w:r w:rsidR="004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(начелник инспекције и 5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шумарско-ловних инспектора)</w:t>
            </w:r>
            <w:r w:rsidR="00606DA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5737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2022</w:t>
            </w:r>
            <w:r w:rsidR="00AB7ED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један инспектор је отишао у пензију, а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место још није попуњено</w:t>
            </w:r>
            <w:r w:rsidR="004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тако да је тренутно запослено 4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шумарско-ловних инспектора и начелник инспекције.</w:t>
            </w:r>
            <w:r w:rsidR="00FC166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C5F66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5332A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Систематизовани број инспектора је недовољан обзиром на укупну површину на којој се врши надзор и број субјеката</w:t>
            </w:r>
            <w:r w:rsidR="00522EE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односно објеката</w:t>
            </w:r>
            <w:r w:rsidR="00F7155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Имајући у виду да је на територији АПВ некада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било запослено 16 инспектора, а приликом преноса надлежности  2010 године 11 инспектора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неопходно је повећати број истих.</w:t>
            </w:r>
          </w:p>
          <w:p w:rsidR="004419AB" w:rsidRPr="00880687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419"/>
        </w:trPr>
        <w:tc>
          <w:tcPr>
            <w:tcW w:w="13036" w:type="dxa"/>
            <w:hideMark/>
          </w:tcPr>
          <w:p w:rsidR="004419AB" w:rsidRPr="00880687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10)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-Придржавање рокова прописаних за поступање инспекције</w:t>
            </w:r>
          </w:p>
          <w:p w:rsidR="004419AB" w:rsidRPr="00880687" w:rsidRDefault="004419A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Pr="00880687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Инспекција се придржавала прописаних рокова.</w:t>
            </w:r>
          </w:p>
          <w:p w:rsidR="00A77E18" w:rsidRPr="00880687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960"/>
        </w:trPr>
        <w:tc>
          <w:tcPr>
            <w:tcW w:w="13036" w:type="dxa"/>
            <w:hideMark/>
          </w:tcPr>
          <w:p w:rsidR="005C7518" w:rsidRPr="00880687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11)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      </w:r>
          </w:p>
          <w:p w:rsidR="00CE4F6F" w:rsidRPr="00880687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880687" w:rsidRDefault="009F2DFE" w:rsidP="009E67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B7086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2022</w:t>
            </w:r>
            <w:r w:rsidR="0062448F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 години био је 1</w:t>
            </w:r>
            <w:r w:rsidR="00542A21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342F1E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542A21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другостепени поступак</w:t>
            </w:r>
            <w:r w:rsidR="0016593A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у којем </w:t>
            </w:r>
            <w:r w:rsidR="00165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је </w:t>
            </w:r>
            <w:r w:rsidR="0016593A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одбачена </w:t>
            </w:r>
            <w:r w:rsidR="00165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прекршајна </w:t>
            </w:r>
            <w:r w:rsidR="0016593A" w:rsidRPr="0088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пријава инспектора.</w:t>
            </w:r>
          </w:p>
          <w:p w:rsidR="00CE4F6F" w:rsidRPr="00880687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960"/>
        </w:trPr>
        <w:tc>
          <w:tcPr>
            <w:tcW w:w="13036" w:type="dxa"/>
            <w:hideMark/>
          </w:tcPr>
          <w:p w:rsidR="005C7518" w:rsidRPr="00880687" w:rsidRDefault="00FB4BD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12)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-Поступањ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.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880687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току 2022. </w:t>
            </w:r>
            <w:r w:rsidR="008B70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8B70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било </w:t>
            </w:r>
            <w:r w:rsidR="00542A2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притужбе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рад инспектора, које се односе 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поступање инспектора. 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1133"/>
        </w:trPr>
        <w:tc>
          <w:tcPr>
            <w:tcW w:w="13036" w:type="dxa"/>
            <w:hideMark/>
          </w:tcPr>
          <w:p w:rsidR="005C7518" w:rsidRPr="00880687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lastRenderedPageBreak/>
              <w:t>13)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</w:t>
            </w:r>
            <w:r w:rsidR="005C7518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Програми стручног усавршаваања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34007" w:rsidRPr="00227A22" w:rsidRDefault="008B708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2022 години одржаване су обуке инспектора по различитим основама </w:t>
            </w:r>
            <w:r w:rsid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у складу са надлежностима шумарско-ловне инспекције.</w:t>
            </w:r>
          </w:p>
          <w:p w:rsidR="005C7518" w:rsidRPr="00880687" w:rsidRDefault="005C7518" w:rsidP="00B34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699"/>
        </w:trPr>
        <w:tc>
          <w:tcPr>
            <w:tcW w:w="13036" w:type="dxa"/>
            <w:hideMark/>
          </w:tcPr>
          <w:p w:rsidR="005C7518" w:rsidRPr="00880687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14)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-Иницијатив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за измене и допуне закона и других прописа</w:t>
            </w:r>
          </w:p>
          <w:p w:rsidR="00CE4F6F" w:rsidRPr="00880687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AD2FC6" w:rsidRDefault="00CE4F6F" w:rsidP="00AD2FC6">
            <w:pPr>
              <w:pStyle w:val="Heading1"/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auto"/>
                <w:kern w:val="36"/>
                <w:sz w:val="48"/>
                <w:szCs w:val="48"/>
                <w:lang w:val="sr-Latn-RS" w:eastAsia="sr-Latn-RS"/>
              </w:rPr>
            </w:pPr>
            <w:r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Покренута је </w:t>
            </w:r>
            <w:r w:rsidR="00673042"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 </w:t>
            </w:r>
            <w:r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иницијатива за измене и д</w:t>
            </w:r>
            <w:r w:rsidR="000E51AF"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опуне</w:t>
            </w:r>
            <w:r w:rsid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E51AF"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D2FC6" w:rsidRPr="008806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Правилника о условима и начину организовања лова,изгледу и садржини обрасца ловне карте,изгледу и садржини обрасца дозволе за лов крупне дивљачи и дозволе за лов ситне дивљачи,као и изгледу и садржини обрасца</w:t>
            </w:r>
            <w:r w:rsidR="00AD2FC6" w:rsidRP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извештаја о извршеном лову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645"/>
        </w:trPr>
        <w:tc>
          <w:tcPr>
            <w:tcW w:w="13036" w:type="dxa"/>
            <w:hideMark/>
          </w:tcPr>
          <w:p w:rsidR="005C7518" w:rsidRPr="00880687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15)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-Мер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и провер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предузете у циљу потпуности и ажурности података у информационом систему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880687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Информациони систем још није </w:t>
            </w:r>
            <w:r w:rsidR="00B3400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потпуности у употреби. </w:t>
            </w:r>
            <w:r w:rsidR="00CE4F6F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Шумарска и ловна инспекција</w:t>
            </w:r>
            <w:r w:rsidR="00B3400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још увек</w:t>
            </w:r>
            <w:r w:rsidR="00342F1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ексел</w:t>
            </w:r>
            <w:r w:rsidR="00673042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табеле за редовно месечно, квартално и годишње извештавање.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880687" w:rsidTr="009E6744">
        <w:trPr>
          <w:trHeight w:val="431"/>
        </w:trPr>
        <w:tc>
          <w:tcPr>
            <w:tcW w:w="13036" w:type="dxa"/>
            <w:noWrap/>
            <w:hideMark/>
          </w:tcPr>
          <w:p w:rsidR="005C7518" w:rsidRPr="00880687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16)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-Стањ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</w:t>
            </w:r>
            <w:r w:rsidR="009F2DFE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у области извршавања поверених послова инспекцијског надзора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880687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шумарске</w:t>
            </w:r>
            <w:r w:rsidR="00542A2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ловне испекције поверени су А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утономној покрајини</w:t>
            </w:r>
            <w:r w:rsidR="00542A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Војводина,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поверени послови државне управе. </w:t>
            </w:r>
            <w:r w:rsidR="005D0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="00542A2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умарска и ловна инспекција у А</w:t>
            </w:r>
            <w:r w:rsidR="0084105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утономној покрајини</w:t>
            </w:r>
            <w:r w:rsidR="008B70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Војводине</w:t>
            </w:r>
            <w:r w:rsidR="0084105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у саставу По</w:t>
            </w:r>
            <w:r w:rsidR="00582A1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крајинског секретаријата за пољ</w:t>
            </w:r>
            <w:r w:rsidR="0084105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опривреду, водопривреду и шумарство. </w:t>
            </w:r>
            <w:r w:rsidR="00EC09B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републичком шумар</w:t>
            </w:r>
            <w:r w:rsidR="001C52B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ском и ловном инспекцијом</w:t>
            </w:r>
            <w:r w:rsidR="005C7518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области извршавања поверен</w:t>
            </w:r>
            <w:r w:rsidR="00EC09B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послова 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</w:t>
            </w:r>
            <w:r w:rsidR="0060443F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задовољавајуће</w:t>
            </w:r>
            <w:r w:rsidR="009F2DF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C7518" w:rsidRPr="00880687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443F" w:rsidRPr="00880687" w:rsidTr="009E6744">
        <w:trPr>
          <w:trHeight w:val="431"/>
        </w:trPr>
        <w:tc>
          <w:tcPr>
            <w:tcW w:w="13036" w:type="dxa"/>
            <w:noWrap/>
          </w:tcPr>
          <w:p w:rsidR="005C7518" w:rsidRPr="00880687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17)-Исходи поступања правосудних органа</w:t>
            </w:r>
          </w:p>
          <w:p w:rsidR="00A26AD3" w:rsidRPr="00880687" w:rsidRDefault="00A26AD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7305E" w:rsidRPr="00B123AA" w:rsidRDefault="008B708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2022</w:t>
            </w:r>
            <w:r w:rsidR="00A26AD3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години укупно је п</w:t>
            </w:r>
            <w:r w:rsidR="008F11FB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однето  </w:t>
            </w:r>
            <w:r w:rsidR="002A7AA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 </w:t>
            </w:r>
            <w:r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0A710F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ахтева за покретањ</w:t>
            </w:r>
            <w:r w:rsidR="00A26AD3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прекршајног поступка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,од чега је решено(кажњено</w:t>
            </w:r>
            <w:r w:rsidR="008929D5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7AA7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5  , 2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одбачена </w:t>
            </w:r>
            <w:r w:rsidR="00C7305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 су остали у поступку</w:t>
            </w:r>
            <w:r w:rsidR="005D0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F11FB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Заплењено је </w:t>
            </w:r>
            <w:r w:rsidR="002A7AA7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245</w:t>
            </w:r>
            <w:r w:rsidR="002A7A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кубних метара</w:t>
            </w:r>
            <w:r w:rsidR="00877DE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дрвета.</w:t>
            </w:r>
          </w:p>
          <w:p w:rsidR="00A26AD3" w:rsidRPr="00813A75" w:rsidRDefault="00614A1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Поднето </w:t>
            </w:r>
            <w:r w:rsidR="00DE230C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230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4A447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кривичн</w:t>
            </w:r>
            <w:r w:rsidR="00DE230C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  пријава</w:t>
            </w:r>
            <w:r w:rsidR="004A447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A7A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 по 2 пријаве изречена је новчана </w:t>
            </w:r>
            <w:r w:rsidR="002A7AA7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казна</w:t>
            </w:r>
            <w:r w:rsidR="005D0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остале су у поступку </w:t>
            </w:r>
            <w:r w:rsidR="00813A75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DE230C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2 </w:t>
            </w:r>
            <w:r w:rsidR="007A1B91" w:rsidRPr="00227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пријаве</w:t>
            </w:r>
            <w:r w:rsidR="007A1B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привредни преступ </w:t>
            </w:r>
            <w:r w:rsidR="00DE2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(поступци у току).</w:t>
            </w:r>
          </w:p>
          <w:p w:rsidR="00673042" w:rsidRPr="00880687" w:rsidRDefault="00673042" w:rsidP="00A81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noWrap/>
            <w:hideMark/>
          </w:tcPr>
          <w:p w:rsidR="00A26AD3" w:rsidRPr="00880687" w:rsidRDefault="00673042" w:rsidP="009E67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Показатељи</w:t>
            </w:r>
            <w:r w:rsidR="008F364C"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делотворности инспекцијског надзора.</w:t>
            </w:r>
          </w:p>
          <w:p w:rsidR="00A81283" w:rsidRPr="00880687" w:rsidRDefault="00A8128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364C" w:rsidRPr="00AD0174" w:rsidRDefault="008F364C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Шумарска и ловна инспекција је</w:t>
            </w:r>
            <w:r w:rsidR="00AD017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очавајући у којим сегментима је било потребно</w:t>
            </w:r>
            <w:r w:rsidR="00813A75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превентивно реаговати вршила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службено саветодавне посете које су садржале и дописе са препорукама, повећане су и превентивне активности са циљем заштите јавног интереса и ефикасним управљањем ризицима у складу са реалним могућностима шумарске и  ловне инспекције.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резултат превентивног рада ове инспекције надзирани субјекти се све чешће обраћају овој инспекцији у циљу упознавања са законском регулативом 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што резултира мањем кр</w:t>
            </w:r>
            <w:r w:rsidR="00813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шењу прописа и законском поступању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8608E4" w:rsidRPr="00880687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608E4" w:rsidRPr="00880687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lastRenderedPageBreak/>
              <w:t>Преглед постављених радних циљева шумарских и ловних инспектора:</w:t>
            </w:r>
          </w:p>
          <w:p w:rsidR="00A26AD3" w:rsidRPr="00880687" w:rsidRDefault="00A26AD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608E4" w:rsidRPr="00880687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Према 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редоследу значаја за 2022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годину одређени су следећи радни</w:t>
            </w:r>
            <w:r w:rsidR="0062549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циљеви сходно Уредби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оцењивању државних службеник</w:t>
            </w:r>
            <w:r w:rsidR="0062549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:</w:t>
            </w:r>
          </w:p>
          <w:p w:rsidR="00624CC4" w:rsidRPr="00880687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Примарни радни циљ био је </w:t>
            </w:r>
            <w:r w:rsidR="009A19F3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контрола 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</w:t>
            </w:r>
            <w:r w:rsidR="009A19F3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позитивних законских прописа из Закона о шумама</w:t>
            </w:r>
            <w:r w:rsidR="00790F9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7A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322</w:t>
            </w:r>
            <w:r w:rsidR="00624CC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24CC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62549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Закона о дивљачи и ловству</w:t>
            </w:r>
            <w:r w:rsidR="008F11FB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7AA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453</w:t>
            </w:r>
            <w:r w:rsidR="0062549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надзора 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Закона о репродуктивном материјалу шумског дрвећа</w:t>
            </w:r>
            <w:r w:rsidR="00624CC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7AA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  <w:r w:rsidR="004C659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25499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надзора, 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Закона о здрављу биља</w:t>
            </w:r>
            <w:r w:rsidR="00624CC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7AA7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22 </w:t>
            </w:r>
            <w:r w:rsidR="00624CC4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надзора и редовно извештавање.</w:t>
            </w:r>
          </w:p>
          <w:p w:rsidR="008608E4" w:rsidRPr="00880687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утврђ</w:t>
            </w:r>
            <w:r w:rsidR="00582A1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ених радних циљева урађен је и Г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одишњи план рада шу</w:t>
            </w:r>
            <w:r w:rsidR="008F11FB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2448F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арске и ловне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инспекције за 2022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годину, а извршење рад</w:t>
            </w:r>
            <w:r w:rsidR="00582A11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них циљева јасно је видљиво из И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звештаја о раду </w:t>
            </w:r>
            <w:r w:rsidR="00790F90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покрајинск</w:t>
            </w:r>
            <w:r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шумарске и лов</w:t>
            </w:r>
            <w:r w:rsidR="0062448F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8B7086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инспекције за 2022</w:t>
            </w:r>
            <w:r w:rsidR="00C7305E" w:rsidRPr="00880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годину </w:t>
            </w:r>
          </w:p>
          <w:p w:rsidR="009F2DFE" w:rsidRPr="00327AF9" w:rsidRDefault="009F2DFE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Начелник шумарске и ловне инспекције</w:t>
            </w:r>
            <w:r w:rsidR="00327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2A11" w:rsidRPr="00060EE5" w:rsidRDefault="007E56F0" w:rsidP="003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</w:t>
            </w:r>
            <w:r w:rsidR="00060EE5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Граховац</w:t>
            </w:r>
          </w:p>
          <w:p w:rsidR="00A427D2" w:rsidRDefault="00A427D2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A427D2" w:rsidRDefault="00A427D2" w:rsidP="00A427D2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A427D2" w:rsidRPr="00A427D2" w:rsidRDefault="00A427D2" w:rsidP="00A427D2">
      <w:pPr>
        <w:rPr>
          <w:rFonts w:ascii="Times New Roman" w:hAnsi="Times New Roman" w:cs="Times New Roman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454B43" w:rsidRDefault="009709F2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  <w:r>
        <w:rPr>
          <w:rFonts w:ascii="Times New Roman" w:eastAsia="Times New Roman" w:hAnsi="Times New Roman" w:cs="Times New Roman"/>
          <w:bCs/>
          <w:szCs w:val="21"/>
          <w:lang w:val="sr-Cyrl-CS"/>
        </w:rPr>
        <w:lastRenderedPageBreak/>
        <w:t xml:space="preserve">Прилог 1 </w:t>
      </w:r>
      <w:r w:rsidR="00454B43"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Извршење</w:t>
      </w:r>
      <w:r w:rsidR="00454B43"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према врсти надзора</w:t>
      </w:r>
      <w:r w:rsidR="008B7086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у 2022</w:t>
      </w:r>
      <w:r w:rsidR="000C5CFE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години</w:t>
      </w:r>
    </w:p>
    <w:p w:rsidR="00BD65E1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BD65E1" w:rsidRPr="00454B43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481"/>
        <w:gridCol w:w="1079"/>
        <w:gridCol w:w="1512"/>
        <w:gridCol w:w="1726"/>
        <w:gridCol w:w="2349"/>
        <w:gridCol w:w="2026"/>
        <w:gridCol w:w="1833"/>
      </w:tblGrid>
      <w:tr w:rsidR="00454B43" w:rsidRPr="00454B43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C5CFE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C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D20B1D" w:rsidRPr="00454B43" w:rsidTr="000D25BB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986A4A" w:rsidRDefault="00986A4A" w:rsidP="00851E8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EA63CF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EA63CF">
              <w:rPr>
                <w:rFonts w:ascii="Arial" w:hAnsi="Arial" w:cs="Arial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EA63CF" w:rsidRDefault="00EA63CF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73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6C0C50" w:rsidRDefault="000E7547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EA63C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EA63CF" w:rsidRDefault="00EA63CF" w:rsidP="000E75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EA63CF" w:rsidRDefault="00EA63CF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D20B1D" w:rsidRPr="00454B43" w:rsidTr="00FB545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986A4A" w:rsidP="008B70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69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637C4D" w:rsidRDefault="000E7547" w:rsidP="00637C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</w:t>
            </w:r>
            <w:r w:rsidR="00EA63C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A63CF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0E75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50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194263" w:rsidRDefault="00194263" w:rsidP="00851E8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EA63C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194263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D20B1D" w:rsidRPr="00454B43" w:rsidTr="00894C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986A4A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EA63CF" w:rsidP="00EA6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10</w:t>
            </w:r>
            <w:r w:rsidR="00D20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="00D20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EA63C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194263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D20B1D" w:rsidRPr="00454B43" w:rsidTr="008B06E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8B7086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986A4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986A4A">
              <w:rPr>
                <w:rFonts w:ascii="Arial" w:hAnsi="Arial" w:cs="Arial"/>
                <w:sz w:val="20"/>
                <w:szCs w:val="20"/>
                <w:lang w:val="sr-Cyrl-RS"/>
              </w:rPr>
              <w:t>453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6C0C50" w:rsidRDefault="000E7547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A63C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EA63C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232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194263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EA63CF" w:rsidRDefault="00EA63CF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194263" w:rsidRDefault="00194263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A26A9E" w:rsidRPr="00454B43" w:rsidTr="009F1EED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37C4D" w:rsidRDefault="006C0C50" w:rsidP="00637C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4263" w:rsidRDefault="00194263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/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426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4263" w:rsidRDefault="00194263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194263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="00A26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A9E" w:rsidRPr="00454B43" w:rsidTr="00F65F3A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986A4A" w:rsidP="00986A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866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0E754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41078F">
              <w:rPr>
                <w:rFonts w:ascii="Arial" w:hAnsi="Arial" w:cs="Arial"/>
                <w:sz w:val="20"/>
                <w:szCs w:val="20"/>
                <w:lang w:val="sr-Cyrl-RS"/>
              </w:rPr>
              <w:t>293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C0C50" w:rsidRDefault="000E7547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41078F">
              <w:rPr>
                <w:rFonts w:ascii="Arial" w:hAnsi="Arial" w:cs="Arial"/>
                <w:sz w:val="20"/>
                <w:szCs w:val="20"/>
                <w:lang w:val="sr-Cyrl-RS"/>
              </w:rPr>
              <w:t>359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41078F" w:rsidRDefault="0041078F" w:rsidP="001844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C0C50" w:rsidRDefault="00194263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</w:t>
            </w:r>
            <w:r w:rsidR="000E75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41078F">
              <w:rPr>
                <w:rFonts w:ascii="Arial" w:hAnsi="Arial" w:cs="Arial"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BD781D" w:rsidRDefault="0041078F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A26A9E" w:rsidRPr="00454B43" w:rsidTr="00B15B0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BC3298" w:rsidRDefault="00A26A9E" w:rsidP="00BC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986A4A" w:rsidRDefault="00986A4A" w:rsidP="00986A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100%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0094" w:rsidRDefault="00190094" w:rsidP="001900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34%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0094" w:rsidRDefault="00190094" w:rsidP="001900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42%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4B5F51" w:rsidRDefault="00190094" w:rsidP="001900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0,2%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0094" w:rsidRDefault="00190094" w:rsidP="00851E8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90094" w:rsidRDefault="00190094" w:rsidP="001900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0,2%</w:t>
            </w:r>
          </w:p>
        </w:tc>
      </w:tr>
    </w:tbl>
    <w:p w:rsidR="00B45864" w:rsidRPr="00A26A9E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877DEE" w:rsidP="000C5CFE">
      <w:pPr>
        <w:autoSpaceDE w:val="0"/>
        <w:spacing w:before="120" w:after="120"/>
        <w:jc w:val="both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  <w:lang w:val="sr-Cyrl-CS"/>
        </w:rPr>
        <w:t>Прилог 2</w:t>
      </w:r>
      <w:r w:rsidR="000B3C97" w:rsidRPr="009F17EC">
        <w:rPr>
          <w:rFonts w:ascii="Times New Roman" w:hAnsi="Times New Roman" w:cs="Times New Roman"/>
          <w:bCs/>
          <w:szCs w:val="21"/>
          <w:lang w:val="sr-Cyrl-CS"/>
        </w:rPr>
        <w:t>.</w:t>
      </w:r>
      <w:r w:rsidR="00110C47" w:rsidRPr="009F17EC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  <w:r w:rsidR="008B7086">
        <w:rPr>
          <w:rFonts w:ascii="Times New Roman" w:hAnsi="Times New Roman" w:cs="Times New Roman"/>
          <w:bCs/>
          <w:szCs w:val="21"/>
          <w:lang w:val="sr-Cyrl-CS"/>
        </w:rPr>
        <w:t xml:space="preserve"> у 2022</w:t>
      </w:r>
      <w:r w:rsidR="000C5CFE">
        <w:rPr>
          <w:rFonts w:ascii="Times New Roman" w:hAnsi="Times New Roman" w:cs="Times New Roman"/>
          <w:bCs/>
          <w:szCs w:val="21"/>
          <w:lang w:val="sr-Cyrl-CS"/>
        </w:rPr>
        <w:t>.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481"/>
        <w:gridCol w:w="1079"/>
        <w:gridCol w:w="1512"/>
        <w:gridCol w:w="1726"/>
        <w:gridCol w:w="2349"/>
        <w:gridCol w:w="2026"/>
        <w:gridCol w:w="1833"/>
      </w:tblGrid>
      <w:tr w:rsidR="00110C47" w:rsidRPr="009F17EC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BC3298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9A3539" w:rsidRPr="009F17EC" w:rsidTr="00DE4E72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190094" w:rsidRDefault="00E1084F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A2" w:rsidRPr="00EE4DA2" w:rsidRDefault="00EE4DA2" w:rsidP="00EE4DA2"/>
          <w:p w:rsidR="009A3539" w:rsidRPr="0046456C" w:rsidRDefault="0046456C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46456C" w:rsidRDefault="00194263" w:rsidP="009A353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46456C" w:rsidRDefault="0046456C" w:rsidP="000E75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46456C" w:rsidRDefault="0046456C" w:rsidP="009A353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46456C" w:rsidRDefault="0046456C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549D5" w:rsidRPr="009F17EC" w:rsidTr="004B2C1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0094" w:rsidRDefault="00190094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78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46456C"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F549D5" w:rsidRPr="009F17EC" w:rsidTr="0056769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0094" w:rsidRDefault="00190094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46456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0E7547" w:rsidP="006477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46456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F549D5" w:rsidRPr="009F17EC" w:rsidTr="00780A1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0094" w:rsidRDefault="00194263" w:rsidP="001900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19009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270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46456C">
              <w:rPr>
                <w:rFonts w:ascii="Arial" w:hAnsi="Arial" w:cs="Arial"/>
                <w:sz w:val="20"/>
                <w:szCs w:val="20"/>
                <w:lang w:val="sr-Cyrl-RS"/>
              </w:rPr>
              <w:t>181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B2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B304E9" w:rsidRDefault="0046456C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F549D5" w:rsidRPr="009F17EC" w:rsidTr="00A74845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F549D5" w:rsidRPr="009F17EC" w:rsidTr="0054036F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1942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810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46456C">
              <w:rPr>
                <w:rFonts w:ascii="Arial" w:hAnsi="Arial" w:cs="Arial"/>
                <w:sz w:val="20"/>
                <w:szCs w:val="20"/>
                <w:lang w:val="sr-Cyrl-RS"/>
              </w:rPr>
              <w:t>474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46456C" w:rsidP="000E75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27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46456C" w:rsidRDefault="0046456C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F549D5" w:rsidRPr="009F17EC" w:rsidTr="00C10EF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1942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100%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194263" w:rsidP="001942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58%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0E754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1942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18%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1942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20%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4263" w:rsidRDefault="00194263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1%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36" w:rsidRDefault="00454236" w:rsidP="00B45864">
      <w:pPr>
        <w:spacing w:after="0" w:line="240" w:lineRule="auto"/>
      </w:pPr>
      <w:r>
        <w:separator/>
      </w:r>
    </w:p>
  </w:endnote>
  <w:endnote w:type="continuationSeparator" w:id="0">
    <w:p w:rsidR="00454236" w:rsidRDefault="00454236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36" w:rsidRDefault="00454236" w:rsidP="00B45864">
      <w:pPr>
        <w:spacing w:after="0" w:line="240" w:lineRule="auto"/>
      </w:pPr>
      <w:r>
        <w:separator/>
      </w:r>
    </w:p>
  </w:footnote>
  <w:footnote w:type="continuationSeparator" w:id="0">
    <w:p w:rsidR="00454236" w:rsidRDefault="00454236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01A18"/>
    <w:rsid w:val="00015E4F"/>
    <w:rsid w:val="0004178B"/>
    <w:rsid w:val="00043EE0"/>
    <w:rsid w:val="00050093"/>
    <w:rsid w:val="00060EE5"/>
    <w:rsid w:val="00062DA3"/>
    <w:rsid w:val="00067E68"/>
    <w:rsid w:val="0007503B"/>
    <w:rsid w:val="00080A42"/>
    <w:rsid w:val="00082D7D"/>
    <w:rsid w:val="000A2642"/>
    <w:rsid w:val="000A710F"/>
    <w:rsid w:val="000B3C97"/>
    <w:rsid w:val="000C5CFE"/>
    <w:rsid w:val="000D0947"/>
    <w:rsid w:val="000E0E3B"/>
    <w:rsid w:val="000E51AF"/>
    <w:rsid w:val="000E7547"/>
    <w:rsid w:val="000F4F38"/>
    <w:rsid w:val="00110C47"/>
    <w:rsid w:val="00137E66"/>
    <w:rsid w:val="00140A3F"/>
    <w:rsid w:val="0014556F"/>
    <w:rsid w:val="001462CD"/>
    <w:rsid w:val="00162787"/>
    <w:rsid w:val="0016593A"/>
    <w:rsid w:val="00175444"/>
    <w:rsid w:val="00180359"/>
    <w:rsid w:val="001844E0"/>
    <w:rsid w:val="001848DD"/>
    <w:rsid w:val="00190094"/>
    <w:rsid w:val="00192B5E"/>
    <w:rsid w:val="00194263"/>
    <w:rsid w:val="001A3F05"/>
    <w:rsid w:val="001B3E90"/>
    <w:rsid w:val="001C4634"/>
    <w:rsid w:val="001C52B7"/>
    <w:rsid w:val="001C5F66"/>
    <w:rsid w:val="001D0FAB"/>
    <w:rsid w:val="00206AE1"/>
    <w:rsid w:val="00222D28"/>
    <w:rsid w:val="002276C9"/>
    <w:rsid w:val="00227A22"/>
    <w:rsid w:val="00251787"/>
    <w:rsid w:val="00271BBA"/>
    <w:rsid w:val="00296CB5"/>
    <w:rsid w:val="002A7AA7"/>
    <w:rsid w:val="002E0E6B"/>
    <w:rsid w:val="00327AF9"/>
    <w:rsid w:val="00342F1E"/>
    <w:rsid w:val="00344CCE"/>
    <w:rsid w:val="0035332A"/>
    <w:rsid w:val="00353F77"/>
    <w:rsid w:val="0036493E"/>
    <w:rsid w:val="00377BAE"/>
    <w:rsid w:val="00380554"/>
    <w:rsid w:val="003B4686"/>
    <w:rsid w:val="003B779B"/>
    <w:rsid w:val="003C5B17"/>
    <w:rsid w:val="003D773E"/>
    <w:rsid w:val="0041078F"/>
    <w:rsid w:val="004153D6"/>
    <w:rsid w:val="00426728"/>
    <w:rsid w:val="00430709"/>
    <w:rsid w:val="004419AB"/>
    <w:rsid w:val="00443D44"/>
    <w:rsid w:val="00454236"/>
    <w:rsid w:val="00454B43"/>
    <w:rsid w:val="00455700"/>
    <w:rsid w:val="00457377"/>
    <w:rsid w:val="0046456C"/>
    <w:rsid w:val="00475033"/>
    <w:rsid w:val="00483991"/>
    <w:rsid w:val="004856D7"/>
    <w:rsid w:val="00487A71"/>
    <w:rsid w:val="00490B2E"/>
    <w:rsid w:val="00493897"/>
    <w:rsid w:val="004959D8"/>
    <w:rsid w:val="00496979"/>
    <w:rsid w:val="004A447E"/>
    <w:rsid w:val="004B5F51"/>
    <w:rsid w:val="004C6590"/>
    <w:rsid w:val="004C6D34"/>
    <w:rsid w:val="004F2990"/>
    <w:rsid w:val="004F2BD4"/>
    <w:rsid w:val="00504642"/>
    <w:rsid w:val="00522EE5"/>
    <w:rsid w:val="00542A21"/>
    <w:rsid w:val="00546070"/>
    <w:rsid w:val="00575606"/>
    <w:rsid w:val="00581E67"/>
    <w:rsid w:val="00582A11"/>
    <w:rsid w:val="005843A6"/>
    <w:rsid w:val="00590949"/>
    <w:rsid w:val="005A2F5E"/>
    <w:rsid w:val="005B1767"/>
    <w:rsid w:val="005B2512"/>
    <w:rsid w:val="005C7518"/>
    <w:rsid w:val="005D0D20"/>
    <w:rsid w:val="005E1E5E"/>
    <w:rsid w:val="0060443F"/>
    <w:rsid w:val="00606DA0"/>
    <w:rsid w:val="00614A16"/>
    <w:rsid w:val="006152E7"/>
    <w:rsid w:val="0062448F"/>
    <w:rsid w:val="00624CC4"/>
    <w:rsid w:val="00625499"/>
    <w:rsid w:val="00637C4D"/>
    <w:rsid w:val="00647727"/>
    <w:rsid w:val="006524CD"/>
    <w:rsid w:val="00670E0D"/>
    <w:rsid w:val="00673042"/>
    <w:rsid w:val="006824DE"/>
    <w:rsid w:val="0069167A"/>
    <w:rsid w:val="006A2494"/>
    <w:rsid w:val="006A6002"/>
    <w:rsid w:val="006C0C50"/>
    <w:rsid w:val="006C4E19"/>
    <w:rsid w:val="006E31ED"/>
    <w:rsid w:val="006F6784"/>
    <w:rsid w:val="006F6D72"/>
    <w:rsid w:val="0071407B"/>
    <w:rsid w:val="00721A3A"/>
    <w:rsid w:val="00721C5A"/>
    <w:rsid w:val="00724DBB"/>
    <w:rsid w:val="007412AC"/>
    <w:rsid w:val="00741939"/>
    <w:rsid w:val="00753AB9"/>
    <w:rsid w:val="00764220"/>
    <w:rsid w:val="00783EA9"/>
    <w:rsid w:val="00790F90"/>
    <w:rsid w:val="00793EE0"/>
    <w:rsid w:val="007A1B91"/>
    <w:rsid w:val="007B151E"/>
    <w:rsid w:val="007E207C"/>
    <w:rsid w:val="007E56F0"/>
    <w:rsid w:val="00803184"/>
    <w:rsid w:val="00811E3F"/>
    <w:rsid w:val="008124EF"/>
    <w:rsid w:val="00813A75"/>
    <w:rsid w:val="008201B9"/>
    <w:rsid w:val="00823006"/>
    <w:rsid w:val="008377D1"/>
    <w:rsid w:val="00841055"/>
    <w:rsid w:val="00851E88"/>
    <w:rsid w:val="00853DE9"/>
    <w:rsid w:val="008608E4"/>
    <w:rsid w:val="00861CD7"/>
    <w:rsid w:val="00872A39"/>
    <w:rsid w:val="0087351A"/>
    <w:rsid w:val="00877BB9"/>
    <w:rsid w:val="00877DEE"/>
    <w:rsid w:val="00880687"/>
    <w:rsid w:val="00885E06"/>
    <w:rsid w:val="008929D5"/>
    <w:rsid w:val="008B7086"/>
    <w:rsid w:val="008D6C18"/>
    <w:rsid w:val="008E0F28"/>
    <w:rsid w:val="008F11FB"/>
    <w:rsid w:val="008F364C"/>
    <w:rsid w:val="008F69FC"/>
    <w:rsid w:val="00903C32"/>
    <w:rsid w:val="00905928"/>
    <w:rsid w:val="00912C8A"/>
    <w:rsid w:val="009170AC"/>
    <w:rsid w:val="009266D4"/>
    <w:rsid w:val="0093757E"/>
    <w:rsid w:val="009375E3"/>
    <w:rsid w:val="009414FE"/>
    <w:rsid w:val="00942256"/>
    <w:rsid w:val="00943447"/>
    <w:rsid w:val="009544FA"/>
    <w:rsid w:val="009615CD"/>
    <w:rsid w:val="009709F2"/>
    <w:rsid w:val="00972917"/>
    <w:rsid w:val="00974A5E"/>
    <w:rsid w:val="00982FC3"/>
    <w:rsid w:val="00986A4A"/>
    <w:rsid w:val="009939BA"/>
    <w:rsid w:val="009972C0"/>
    <w:rsid w:val="00997A7C"/>
    <w:rsid w:val="009A19F3"/>
    <w:rsid w:val="009A3539"/>
    <w:rsid w:val="009A4C52"/>
    <w:rsid w:val="009A7692"/>
    <w:rsid w:val="009C5E8B"/>
    <w:rsid w:val="009D7F2A"/>
    <w:rsid w:val="009E6744"/>
    <w:rsid w:val="009F17EC"/>
    <w:rsid w:val="009F2DFE"/>
    <w:rsid w:val="009F41F9"/>
    <w:rsid w:val="00A2211A"/>
    <w:rsid w:val="00A238C0"/>
    <w:rsid w:val="00A24BD8"/>
    <w:rsid w:val="00A26A9E"/>
    <w:rsid w:val="00A26AD3"/>
    <w:rsid w:val="00A27C98"/>
    <w:rsid w:val="00A33A09"/>
    <w:rsid w:val="00A37022"/>
    <w:rsid w:val="00A427D2"/>
    <w:rsid w:val="00A54CEA"/>
    <w:rsid w:val="00A55FD4"/>
    <w:rsid w:val="00A61DED"/>
    <w:rsid w:val="00A77E18"/>
    <w:rsid w:val="00A81283"/>
    <w:rsid w:val="00A87E3B"/>
    <w:rsid w:val="00A92386"/>
    <w:rsid w:val="00AA0972"/>
    <w:rsid w:val="00AB7ED5"/>
    <w:rsid w:val="00AC5A2F"/>
    <w:rsid w:val="00AD0174"/>
    <w:rsid w:val="00AD2FC6"/>
    <w:rsid w:val="00B04D08"/>
    <w:rsid w:val="00B123AA"/>
    <w:rsid w:val="00B20428"/>
    <w:rsid w:val="00B304E9"/>
    <w:rsid w:val="00B34007"/>
    <w:rsid w:val="00B45864"/>
    <w:rsid w:val="00B574E9"/>
    <w:rsid w:val="00B57DEF"/>
    <w:rsid w:val="00B60DBC"/>
    <w:rsid w:val="00B77A12"/>
    <w:rsid w:val="00BC3298"/>
    <w:rsid w:val="00BD65E1"/>
    <w:rsid w:val="00BD781D"/>
    <w:rsid w:val="00BE226A"/>
    <w:rsid w:val="00C03A97"/>
    <w:rsid w:val="00C13059"/>
    <w:rsid w:val="00C17F0B"/>
    <w:rsid w:val="00C24527"/>
    <w:rsid w:val="00C35182"/>
    <w:rsid w:val="00C51C8E"/>
    <w:rsid w:val="00C642D1"/>
    <w:rsid w:val="00C6558E"/>
    <w:rsid w:val="00C7305E"/>
    <w:rsid w:val="00CA3E31"/>
    <w:rsid w:val="00CA58D5"/>
    <w:rsid w:val="00CC04DC"/>
    <w:rsid w:val="00CD00BA"/>
    <w:rsid w:val="00CE4E09"/>
    <w:rsid w:val="00CE4F6F"/>
    <w:rsid w:val="00CE62A3"/>
    <w:rsid w:val="00CF0C46"/>
    <w:rsid w:val="00CF5676"/>
    <w:rsid w:val="00D04021"/>
    <w:rsid w:val="00D04615"/>
    <w:rsid w:val="00D20B1D"/>
    <w:rsid w:val="00D75C22"/>
    <w:rsid w:val="00D8335B"/>
    <w:rsid w:val="00DA62A0"/>
    <w:rsid w:val="00DA77CE"/>
    <w:rsid w:val="00DC21CC"/>
    <w:rsid w:val="00DD034C"/>
    <w:rsid w:val="00DE0AF0"/>
    <w:rsid w:val="00DE230C"/>
    <w:rsid w:val="00DF109D"/>
    <w:rsid w:val="00DF2A6E"/>
    <w:rsid w:val="00DF35B5"/>
    <w:rsid w:val="00E1084F"/>
    <w:rsid w:val="00E255C5"/>
    <w:rsid w:val="00E30ED7"/>
    <w:rsid w:val="00E332B4"/>
    <w:rsid w:val="00E47092"/>
    <w:rsid w:val="00E5057B"/>
    <w:rsid w:val="00E86778"/>
    <w:rsid w:val="00E9463A"/>
    <w:rsid w:val="00E94CD5"/>
    <w:rsid w:val="00EA63CF"/>
    <w:rsid w:val="00EB6E97"/>
    <w:rsid w:val="00EC09BC"/>
    <w:rsid w:val="00EC6954"/>
    <w:rsid w:val="00EE4DA2"/>
    <w:rsid w:val="00EE55A1"/>
    <w:rsid w:val="00EF2703"/>
    <w:rsid w:val="00EF7277"/>
    <w:rsid w:val="00F07403"/>
    <w:rsid w:val="00F14774"/>
    <w:rsid w:val="00F16B66"/>
    <w:rsid w:val="00F46C42"/>
    <w:rsid w:val="00F47912"/>
    <w:rsid w:val="00F54957"/>
    <w:rsid w:val="00F549D5"/>
    <w:rsid w:val="00F67918"/>
    <w:rsid w:val="00F71554"/>
    <w:rsid w:val="00F84CCF"/>
    <w:rsid w:val="00F91FFE"/>
    <w:rsid w:val="00F96BAE"/>
    <w:rsid w:val="00F973B5"/>
    <w:rsid w:val="00FB4BD8"/>
    <w:rsid w:val="00FB68DA"/>
    <w:rsid w:val="00FC166E"/>
    <w:rsid w:val="00FD1942"/>
    <w:rsid w:val="00FD591A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5CD2F-CA8B-4200-A63C-AAA6B870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5"/>
  </w:style>
  <w:style w:type="paragraph" w:styleId="Heading1">
    <w:name w:val="heading 1"/>
    <w:basedOn w:val="Normal"/>
    <w:next w:val="Normal"/>
    <w:link w:val="Heading1Char"/>
    <w:uiPriority w:val="9"/>
    <w:qFormat/>
    <w:rsid w:val="00AD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  <w:style w:type="character" w:customStyle="1" w:styleId="Heading1Char">
    <w:name w:val="Heading 1 Char"/>
    <w:basedOn w:val="DefaultParagraphFont"/>
    <w:link w:val="Heading1"/>
    <w:uiPriority w:val="9"/>
    <w:rsid w:val="00AD2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8396-62E9-40A1-B3AE-AE358B9D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BOBAN MILOSAVLJEVIC</cp:lastModifiedBy>
  <cp:revision>2</cp:revision>
  <cp:lastPrinted>2022-02-24T07:24:00Z</cp:lastPrinted>
  <dcterms:created xsi:type="dcterms:W3CDTF">2023-04-03T22:32:00Z</dcterms:created>
  <dcterms:modified xsi:type="dcterms:W3CDTF">2023-04-03T22:32:00Z</dcterms:modified>
</cp:coreProperties>
</file>