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182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230939" w:rsidRPr="00230939" w:rsidTr="00596CBF">
        <w:trPr>
          <w:trHeight w:val="1975"/>
        </w:trPr>
        <w:tc>
          <w:tcPr>
            <w:tcW w:w="2552" w:type="dxa"/>
          </w:tcPr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 w:rsidRPr="00230939">
              <w:rPr>
                <w:noProof/>
              </w:rPr>
              <w:drawing>
                <wp:inline distT="0" distB="0" distL="0" distR="0" wp14:anchorId="049B8AE5" wp14:editId="5E2C2192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230939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230939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230939">
              <w:rPr>
                <w:sz w:val="18"/>
                <w:szCs w:val="20"/>
                <w:lang w:val="ru-RU"/>
              </w:rPr>
              <w:t>Аутономна покрајина Војводина</w:t>
            </w:r>
            <w:r w:rsidRPr="00230939">
              <w:rPr>
                <w:sz w:val="18"/>
                <w:szCs w:val="20"/>
                <w:lang w:val="ru-RU"/>
              </w:rPr>
              <w:tab/>
            </w:r>
          </w:p>
          <w:p w:rsidR="00596CBF" w:rsidRPr="00230939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230939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230939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230939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30939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230939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230939">
              <w:rPr>
                <w:sz w:val="16"/>
                <w:szCs w:val="16"/>
                <w:lang w:val="ru-RU"/>
              </w:rPr>
              <w:t>psp@vojvodina.gov.rs</w:t>
            </w:r>
            <w:r w:rsidRPr="00230939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230939" w:rsidTr="00596CBF">
        <w:trPr>
          <w:trHeight w:val="305"/>
        </w:trPr>
        <w:tc>
          <w:tcPr>
            <w:tcW w:w="2552" w:type="dxa"/>
          </w:tcPr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7" w:type="dxa"/>
          </w:tcPr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230939">
              <w:rPr>
                <w:sz w:val="16"/>
                <w:szCs w:val="16"/>
              </w:rPr>
              <w:t xml:space="preserve">БРОЈ: </w:t>
            </w:r>
            <w:r w:rsidRPr="00230939">
              <w:rPr>
                <w:sz w:val="16"/>
                <w:szCs w:val="16"/>
                <w:lang w:val="sr-Cyrl-RS"/>
              </w:rPr>
              <w:t>104-401-</w:t>
            </w:r>
            <w:r w:rsidRPr="00230939">
              <w:rPr>
                <w:sz w:val="16"/>
                <w:szCs w:val="16"/>
                <w:lang w:val="sr-Latn-RS"/>
              </w:rPr>
              <w:t>2</w:t>
            </w:r>
            <w:r w:rsidR="00846ED7" w:rsidRPr="00230939">
              <w:rPr>
                <w:sz w:val="16"/>
                <w:szCs w:val="16"/>
                <w:lang w:val="sr-Cyrl-RS"/>
              </w:rPr>
              <w:t>34</w:t>
            </w:r>
            <w:r w:rsidRPr="00230939">
              <w:rPr>
                <w:sz w:val="16"/>
                <w:szCs w:val="16"/>
                <w:lang w:val="sr-Cyrl-RS"/>
              </w:rPr>
              <w:t>/20</w:t>
            </w:r>
            <w:r w:rsidRPr="00230939">
              <w:rPr>
                <w:sz w:val="16"/>
                <w:szCs w:val="16"/>
                <w:lang w:val="sr-Latn-RS"/>
              </w:rPr>
              <w:t>20</w:t>
            </w:r>
            <w:r w:rsidRPr="00230939">
              <w:rPr>
                <w:sz w:val="16"/>
                <w:szCs w:val="16"/>
                <w:lang w:val="sr-Cyrl-RS"/>
              </w:rPr>
              <w:t>-01</w:t>
            </w:r>
            <w:r w:rsidRPr="00230939">
              <w:rPr>
                <w:sz w:val="16"/>
                <w:szCs w:val="16"/>
                <w:lang w:val="sr-Latn-RS"/>
              </w:rPr>
              <w:t>-2</w:t>
            </w:r>
          </w:p>
          <w:p w:rsidR="00596CBF" w:rsidRPr="00230939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230939" w:rsidRDefault="00596CBF" w:rsidP="00FF01EC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230939">
              <w:rPr>
                <w:sz w:val="16"/>
                <w:szCs w:val="16"/>
              </w:rPr>
              <w:t>ДАТУМ:</w:t>
            </w:r>
            <w:r w:rsidR="00CA01E8" w:rsidRPr="00230939">
              <w:rPr>
                <w:sz w:val="16"/>
                <w:szCs w:val="16"/>
                <w:lang w:val="sr-Cyrl-RS"/>
              </w:rPr>
              <w:t xml:space="preserve"> </w:t>
            </w:r>
            <w:r w:rsidR="00FF01EC">
              <w:rPr>
                <w:sz w:val="16"/>
                <w:szCs w:val="16"/>
                <w:lang w:val="sr-Cyrl-RS"/>
              </w:rPr>
              <w:t>23.12</w:t>
            </w:r>
            <w:r w:rsidRPr="00230939">
              <w:rPr>
                <w:sz w:val="16"/>
                <w:szCs w:val="16"/>
                <w:lang w:val="sr-Cyrl-RS"/>
              </w:rPr>
              <w:t>.20</w:t>
            </w:r>
            <w:r w:rsidRPr="00230939">
              <w:rPr>
                <w:sz w:val="16"/>
                <w:szCs w:val="16"/>
                <w:lang w:val="sr-Latn-RS"/>
              </w:rPr>
              <w:t>2</w:t>
            </w:r>
            <w:r w:rsidRPr="00230939"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596CBF" w:rsidRPr="00230939" w:rsidRDefault="00596CBF" w:rsidP="00A83FCA">
      <w:pPr>
        <w:ind w:right="51"/>
        <w:jc w:val="both"/>
        <w:rPr>
          <w:lang w:val="ru-RU"/>
        </w:rPr>
      </w:pPr>
    </w:p>
    <w:p w:rsidR="00596CBF" w:rsidRPr="00230939" w:rsidRDefault="00596CBF" w:rsidP="00844711">
      <w:pPr>
        <w:ind w:right="51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230939">
        <w:rPr>
          <w:rFonts w:asciiTheme="minorHAnsi" w:hAnsiTheme="minorHAnsi"/>
          <w:sz w:val="24"/>
          <w:szCs w:val="24"/>
          <w:lang w:val="ru-RU"/>
        </w:rPr>
        <w:t xml:space="preserve">На основу члана </w:t>
      </w:r>
      <w:r w:rsidR="00C147A7" w:rsidRPr="00230939">
        <w:rPr>
          <w:rFonts w:asciiTheme="minorHAnsi" w:hAnsiTheme="minorHAnsi"/>
          <w:sz w:val="24"/>
          <w:szCs w:val="24"/>
          <w:lang w:val="sr-Latn-RS"/>
        </w:rPr>
        <w:t>9</w:t>
      </w:r>
      <w:r w:rsidRPr="00230939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846ED7" w:rsidRPr="00230939">
        <w:rPr>
          <w:rFonts w:asciiTheme="minorHAnsi" w:hAnsiTheme="minorHAnsi"/>
          <w:sz w:val="24"/>
          <w:szCs w:val="24"/>
          <w:lang w:val="sr-Cyrl-RS"/>
        </w:rPr>
        <w:t xml:space="preserve">Правилника </w:t>
      </w:r>
      <w:r w:rsidR="00846ED7" w:rsidRPr="00230939">
        <w:rPr>
          <w:rFonts w:asciiTheme="minorHAnsi" w:eastAsia="Times New Roman" w:hAnsiTheme="minorHAnsi" w:cs="Verdana"/>
          <w:sz w:val="24"/>
          <w:szCs w:val="24"/>
          <w:lang w:val="sr-Cyrl-CS" w:eastAsia="sr-Cyrl-RS"/>
        </w:rPr>
        <w:t xml:space="preserve">за спровођење </w:t>
      </w:r>
      <w:r w:rsidR="00846ED7" w:rsidRPr="00230939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а</w:t>
      </w:r>
      <w:r w:rsidR="00846ED7" w:rsidRPr="00230939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846ED7" w:rsidRPr="00230939">
        <w:rPr>
          <w:rFonts w:asciiTheme="minorHAnsi" w:eastAsia="Times New Roman" w:hAnsiTheme="minorHAnsi"/>
          <w:bCs/>
          <w:sz w:val="24"/>
          <w:szCs w:val="24"/>
        </w:rPr>
        <w:t>1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  <w:r w:rsidR="00846ED7" w:rsidRPr="00230939">
        <w:rPr>
          <w:rFonts w:asciiTheme="minorHAnsi" w:hAnsiTheme="minorHAnsi"/>
          <w:bCs/>
          <w:sz w:val="24"/>
          <w:szCs w:val="24"/>
          <w:lang w:val="sr-Latn-RS"/>
        </w:rPr>
        <w:t xml:space="preserve"> </w:t>
      </w:r>
      <w:r w:rsidR="00846ED7" w:rsidRPr="00230939">
        <w:rPr>
          <w:rFonts w:asciiTheme="minorHAnsi" w:hAnsiTheme="minorHAnsi"/>
          <w:sz w:val="24"/>
          <w:szCs w:val="24"/>
          <w:lang w:val="sr-Cyrl-RS"/>
        </w:rPr>
        <w:t xml:space="preserve">(„Службени лист АПВ“ број </w:t>
      </w:r>
      <w:r w:rsidR="00846ED7" w:rsidRPr="00230939">
        <w:rPr>
          <w:rFonts w:asciiTheme="minorHAnsi" w:hAnsiTheme="minorHAnsi"/>
          <w:sz w:val="24"/>
          <w:szCs w:val="24"/>
          <w:lang w:val="sr-Latn-RS"/>
        </w:rPr>
        <w:t>5</w:t>
      </w:r>
      <w:r w:rsidR="00846ED7" w:rsidRPr="00230939">
        <w:rPr>
          <w:rFonts w:asciiTheme="minorHAnsi" w:hAnsiTheme="minorHAnsi"/>
          <w:sz w:val="24"/>
          <w:szCs w:val="24"/>
          <w:lang w:val="sr-Cyrl-RS"/>
        </w:rPr>
        <w:t>/</w:t>
      </w:r>
      <w:r w:rsidR="00846ED7" w:rsidRPr="00230939">
        <w:rPr>
          <w:rFonts w:asciiTheme="minorHAnsi" w:hAnsiTheme="minorHAnsi"/>
          <w:sz w:val="24"/>
          <w:szCs w:val="24"/>
          <w:lang w:val="sr-Latn-RS"/>
        </w:rPr>
        <w:t>21</w:t>
      </w:r>
      <w:r w:rsidR="00846ED7" w:rsidRPr="00230939">
        <w:rPr>
          <w:rFonts w:asciiTheme="minorHAnsi" w:hAnsiTheme="minorHAnsi"/>
          <w:sz w:val="24"/>
          <w:szCs w:val="24"/>
          <w:lang w:val="sr-Cyrl-RS"/>
        </w:rPr>
        <w:t>)</w:t>
      </w:r>
      <w:r w:rsidRPr="00230939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Pr="00230939">
        <w:rPr>
          <w:rFonts w:asciiTheme="minorHAnsi" w:hAnsiTheme="minorHAnsi"/>
          <w:sz w:val="24"/>
          <w:szCs w:val="24"/>
          <w:lang w:val="sr-Cyrl-CS"/>
        </w:rPr>
        <w:t xml:space="preserve">Покрајински секретар за пољопривреду, водопривреду и шумарство дана </w:t>
      </w:r>
      <w:r w:rsidR="00FF01EC">
        <w:rPr>
          <w:rFonts w:asciiTheme="minorHAnsi" w:hAnsiTheme="minorHAnsi"/>
          <w:sz w:val="24"/>
          <w:szCs w:val="24"/>
          <w:lang w:val="sr-Cyrl-RS"/>
        </w:rPr>
        <w:t>23.12</w:t>
      </w:r>
      <w:r w:rsidR="00CA01E8" w:rsidRPr="00230939">
        <w:rPr>
          <w:rFonts w:asciiTheme="minorHAnsi" w:hAnsiTheme="minorHAnsi"/>
          <w:sz w:val="24"/>
          <w:szCs w:val="24"/>
          <w:lang w:val="sr-Cyrl-RS"/>
        </w:rPr>
        <w:t>.</w:t>
      </w:r>
      <w:r w:rsidR="00D44DA7" w:rsidRPr="00230939">
        <w:rPr>
          <w:rFonts w:asciiTheme="minorHAnsi" w:hAnsiTheme="minorHAnsi"/>
          <w:sz w:val="24"/>
          <w:szCs w:val="24"/>
        </w:rPr>
        <w:t>2021.</w:t>
      </w:r>
      <w:r w:rsidR="00844711" w:rsidRPr="00230939">
        <w:rPr>
          <w:rFonts w:asciiTheme="minorHAnsi" w:hAnsiTheme="minorHAnsi"/>
          <w:sz w:val="24"/>
          <w:szCs w:val="24"/>
          <w:lang w:val="sr-Cyrl-CS"/>
        </w:rPr>
        <w:t xml:space="preserve"> године</w:t>
      </w:r>
      <w:r w:rsidRPr="00230939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CF2FAD" w:rsidRPr="00230939">
        <w:rPr>
          <w:rFonts w:asciiTheme="minorHAnsi" w:hAnsiTheme="minorHAnsi"/>
          <w:sz w:val="24"/>
          <w:szCs w:val="24"/>
          <w:lang w:val="sr-Cyrl-CS"/>
        </w:rPr>
        <w:t xml:space="preserve">усваја се </w:t>
      </w:r>
    </w:p>
    <w:p w:rsidR="00596CBF" w:rsidRPr="00230939" w:rsidRDefault="00FF01EC" w:rsidP="00844711">
      <w:pPr>
        <w:pStyle w:val="memo"/>
        <w:ind w:right="51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ИЗМЕНА ОДЛУКЕ БРОЈ 2</w:t>
      </w:r>
      <w:r w:rsidR="00402FFD" w:rsidRPr="00230939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844711" w:rsidRPr="00230939" w:rsidRDefault="00402FFD" w:rsidP="00844711">
      <w:pPr>
        <w:spacing w:after="0" w:line="240" w:lineRule="auto"/>
        <w:ind w:right="51"/>
        <w:jc w:val="center"/>
        <w:rPr>
          <w:rFonts w:asciiTheme="minorHAnsi" w:eastAsia="Times New Roman" w:hAnsiTheme="minorHAnsi"/>
          <w:bCs/>
          <w:sz w:val="24"/>
          <w:szCs w:val="24"/>
          <w:lang w:val="sr-Cyrl-RS"/>
        </w:rPr>
      </w:pPr>
      <w:r w:rsidRPr="00230939">
        <w:rPr>
          <w:rFonts w:asciiTheme="minorHAnsi" w:hAnsiTheme="minorHAnsi"/>
          <w:sz w:val="24"/>
          <w:szCs w:val="24"/>
          <w:lang w:val="sr-Cyrl-CS"/>
        </w:rPr>
        <w:t xml:space="preserve">Одлуке </w:t>
      </w:r>
      <w:r w:rsidR="00596CBF" w:rsidRPr="00230939">
        <w:rPr>
          <w:rFonts w:asciiTheme="minorHAnsi" w:hAnsiTheme="minorHAnsi"/>
          <w:sz w:val="24"/>
          <w:szCs w:val="24"/>
          <w:lang w:val="sr-Cyrl-CS"/>
        </w:rPr>
        <w:t xml:space="preserve">о опредељивању средстава по </w:t>
      </w:r>
      <w:r w:rsidR="00846ED7" w:rsidRPr="00230939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у</w:t>
      </w:r>
      <w:r w:rsidR="00846ED7" w:rsidRPr="00230939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846ED7" w:rsidRPr="00230939">
        <w:rPr>
          <w:rFonts w:asciiTheme="minorHAnsi" w:eastAsia="Times New Roman" w:hAnsiTheme="minorHAnsi"/>
          <w:bCs/>
          <w:sz w:val="24"/>
          <w:szCs w:val="24"/>
        </w:rPr>
        <w:t>1</w:t>
      </w:r>
      <w:r w:rsidR="00846ED7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</w:p>
    <w:p w:rsidR="00844711" w:rsidRPr="00230939" w:rsidRDefault="00844711" w:rsidP="00844711">
      <w:pPr>
        <w:spacing w:after="0" w:line="240" w:lineRule="auto"/>
        <w:ind w:left="851" w:right="51"/>
        <w:jc w:val="both"/>
        <w:rPr>
          <w:rFonts w:asciiTheme="minorHAnsi" w:hAnsiTheme="minorHAnsi"/>
          <w:bCs/>
          <w:sz w:val="24"/>
          <w:szCs w:val="24"/>
          <w:lang w:val="sr-Latn-RS"/>
        </w:rPr>
      </w:pPr>
    </w:p>
    <w:p w:rsidR="005748DD" w:rsidRPr="00230939" w:rsidRDefault="005748DD" w:rsidP="00CF2FAD">
      <w:pPr>
        <w:spacing w:after="0" w:line="240" w:lineRule="auto"/>
        <w:ind w:right="51"/>
        <w:jc w:val="both"/>
        <w:rPr>
          <w:rFonts w:asciiTheme="minorHAnsi" w:hAnsiTheme="minorHAnsi"/>
          <w:bCs/>
          <w:sz w:val="24"/>
          <w:szCs w:val="24"/>
          <w:lang w:val="sr-Latn-RS"/>
        </w:rPr>
      </w:pPr>
    </w:p>
    <w:p w:rsidR="00402FFD" w:rsidRPr="00230939" w:rsidRDefault="00402FFD" w:rsidP="00402FFD">
      <w:pPr>
        <w:pStyle w:val="ListParagraph"/>
        <w:numPr>
          <w:ilvl w:val="0"/>
          <w:numId w:val="4"/>
        </w:numPr>
        <w:spacing w:after="0" w:line="240" w:lineRule="auto"/>
        <w:ind w:right="51"/>
        <w:jc w:val="center"/>
        <w:rPr>
          <w:rFonts w:asciiTheme="minorHAnsi" w:hAnsiTheme="minorHAnsi"/>
          <w:bCs/>
          <w:sz w:val="24"/>
          <w:szCs w:val="24"/>
          <w:lang w:val="sr-Cyrl-RS"/>
        </w:rPr>
      </w:pPr>
    </w:p>
    <w:p w:rsidR="00402FFD" w:rsidRPr="003E30A5" w:rsidRDefault="00CF2FAD" w:rsidP="00402FFD">
      <w:pPr>
        <w:spacing w:after="0" w:line="240" w:lineRule="auto"/>
        <w:jc w:val="both"/>
        <w:rPr>
          <w:rFonts w:eastAsia="Times New Roman"/>
          <w:sz w:val="24"/>
          <w:szCs w:val="24"/>
          <w:lang w:val="sr-Cyrl-RS" w:eastAsia="sr-Latn-RS"/>
        </w:rPr>
      </w:pPr>
      <w:r w:rsidRPr="00230939">
        <w:rPr>
          <w:rFonts w:asciiTheme="minorHAnsi" w:hAnsiTheme="minorHAnsi"/>
          <w:bCs/>
          <w:sz w:val="24"/>
          <w:szCs w:val="24"/>
          <w:lang w:val="sr-Cyrl-RS"/>
        </w:rPr>
        <w:t xml:space="preserve">У </w:t>
      </w:r>
      <w:r w:rsidR="00FF01EC">
        <w:rPr>
          <w:rFonts w:asciiTheme="minorHAnsi" w:hAnsiTheme="minorHAnsi"/>
          <w:sz w:val="24"/>
          <w:szCs w:val="24"/>
          <w:lang w:val="sr-Cyrl-CS"/>
        </w:rPr>
        <w:t>Одлуци</w:t>
      </w:r>
      <w:r w:rsidRPr="00230939">
        <w:rPr>
          <w:rFonts w:asciiTheme="minorHAnsi" w:hAnsiTheme="minorHAnsi"/>
          <w:sz w:val="24"/>
          <w:szCs w:val="24"/>
          <w:lang w:val="sr-Cyrl-CS"/>
        </w:rPr>
        <w:t xml:space="preserve"> о опредељивању средстава по </w:t>
      </w:r>
      <w:r w:rsidRPr="00230939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у</w:t>
      </w:r>
      <w:r w:rsidRPr="00230939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Pr="00230939">
        <w:rPr>
          <w:rFonts w:asciiTheme="minorHAnsi" w:eastAsia="Times New Roman" w:hAnsiTheme="minorHAnsi"/>
          <w:bCs/>
          <w:sz w:val="24"/>
          <w:szCs w:val="24"/>
        </w:rPr>
        <w:t>1</w:t>
      </w:r>
      <w:r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  <w:r w:rsidR="00FF01EC"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број:</w:t>
      </w:r>
      <w:r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</w:t>
      </w:r>
      <w:r w:rsidRPr="00230939">
        <w:rPr>
          <w:rFonts w:asciiTheme="minorHAnsi" w:hAnsiTheme="minorHAnsi"/>
          <w:sz w:val="24"/>
          <w:szCs w:val="24"/>
          <w:lang w:val="sr-Cyrl-RS"/>
        </w:rPr>
        <w:t>104-401-</w:t>
      </w:r>
      <w:r w:rsidRPr="00230939">
        <w:rPr>
          <w:rFonts w:asciiTheme="minorHAnsi" w:hAnsiTheme="minorHAnsi"/>
          <w:sz w:val="24"/>
          <w:szCs w:val="24"/>
          <w:lang w:val="sr-Latn-RS"/>
        </w:rPr>
        <w:t>2</w:t>
      </w:r>
      <w:r w:rsidRPr="00230939">
        <w:rPr>
          <w:rFonts w:asciiTheme="minorHAnsi" w:hAnsiTheme="minorHAnsi"/>
          <w:sz w:val="24"/>
          <w:szCs w:val="24"/>
          <w:lang w:val="sr-Cyrl-RS"/>
        </w:rPr>
        <w:t>34/20</w:t>
      </w:r>
      <w:r w:rsidRPr="00230939">
        <w:rPr>
          <w:rFonts w:asciiTheme="minorHAnsi" w:hAnsiTheme="minorHAnsi"/>
          <w:sz w:val="24"/>
          <w:szCs w:val="24"/>
          <w:lang w:val="sr-Latn-RS"/>
        </w:rPr>
        <w:t>20</w:t>
      </w:r>
      <w:r w:rsidRPr="00230939">
        <w:rPr>
          <w:rFonts w:asciiTheme="minorHAnsi" w:hAnsiTheme="minorHAnsi"/>
          <w:sz w:val="24"/>
          <w:szCs w:val="24"/>
          <w:lang w:val="sr-Cyrl-RS"/>
        </w:rPr>
        <w:t>-01</w:t>
      </w:r>
      <w:r w:rsidRPr="00230939">
        <w:rPr>
          <w:rFonts w:asciiTheme="minorHAnsi" w:hAnsiTheme="minorHAnsi"/>
          <w:sz w:val="24"/>
          <w:szCs w:val="24"/>
          <w:lang w:val="sr-Latn-RS"/>
        </w:rPr>
        <w:t>-2</w:t>
      </w:r>
      <w:r w:rsidRPr="00230939">
        <w:rPr>
          <w:rFonts w:asciiTheme="minorHAnsi" w:hAnsiTheme="minorHAnsi"/>
          <w:sz w:val="24"/>
          <w:szCs w:val="24"/>
          <w:lang w:val="sr-Cyrl-RS"/>
        </w:rPr>
        <w:t xml:space="preserve"> од</w:t>
      </w:r>
      <w:r w:rsidR="00402FFD" w:rsidRPr="00230939">
        <w:rPr>
          <w:rFonts w:asciiTheme="minorHAnsi" w:hAnsiTheme="minorHAnsi"/>
          <w:sz w:val="24"/>
          <w:szCs w:val="24"/>
          <w:lang w:val="sr-Cyrl-RS"/>
        </w:rPr>
        <w:t xml:space="preserve"> 23.04.2021. године и </w:t>
      </w:r>
      <w:r w:rsidR="00CA01E8" w:rsidRPr="00230939">
        <w:rPr>
          <w:rFonts w:asciiTheme="minorHAnsi" w:hAnsiTheme="minorHAnsi"/>
          <w:sz w:val="24"/>
          <w:szCs w:val="24"/>
          <w:lang w:val="sr-Cyrl-RS"/>
        </w:rPr>
        <w:t>09.09.</w:t>
      </w:r>
      <w:r w:rsidRPr="00230939">
        <w:rPr>
          <w:rFonts w:asciiTheme="minorHAnsi" w:hAnsiTheme="minorHAnsi"/>
          <w:sz w:val="24"/>
          <w:szCs w:val="24"/>
          <w:lang w:val="sr-Cyrl-RS"/>
        </w:rPr>
        <w:t>2021</w:t>
      </w:r>
      <w:r w:rsidRPr="003E30A5">
        <w:rPr>
          <w:rFonts w:asciiTheme="minorHAnsi" w:hAnsiTheme="minorHAnsi"/>
          <w:sz w:val="24"/>
          <w:szCs w:val="24"/>
          <w:lang w:val="sr-Cyrl-RS"/>
        </w:rPr>
        <w:t xml:space="preserve">. године </w:t>
      </w:r>
      <w:r w:rsidR="00402FFD" w:rsidRPr="003E30A5">
        <w:rPr>
          <w:rFonts w:asciiTheme="minorHAnsi" w:hAnsiTheme="minorHAnsi"/>
          <w:sz w:val="24"/>
          <w:szCs w:val="24"/>
          <w:lang w:val="sr-Cyrl-RS"/>
        </w:rPr>
        <w:t xml:space="preserve"> после речи „расподељују се“ додају се речи „у износу од </w:t>
      </w:r>
      <w:r w:rsidR="00C3465E" w:rsidRPr="00C3465E">
        <w:rPr>
          <w:rFonts w:asciiTheme="minorHAnsi" w:hAnsiTheme="minorHAnsi"/>
          <w:sz w:val="24"/>
          <w:szCs w:val="24"/>
          <w:lang w:val="sr-Cyrl-RS"/>
        </w:rPr>
        <w:t>79.596.324,30</w:t>
      </w:r>
      <w:r w:rsidR="00402FFD" w:rsidRPr="003E30A5">
        <w:rPr>
          <w:rFonts w:eastAsia="Times New Roman"/>
          <w:sz w:val="24"/>
          <w:szCs w:val="24"/>
          <w:lang w:val="sr-Cyrl-RS" w:eastAsia="sr-Latn-RS"/>
        </w:rPr>
        <w:t xml:space="preserve">  динара“, а у табели 1. у редном броју </w:t>
      </w:r>
      <w:r w:rsidR="00C3465E">
        <w:rPr>
          <w:rFonts w:eastAsia="Times New Roman"/>
          <w:sz w:val="24"/>
          <w:szCs w:val="24"/>
          <w:lang w:val="sr-Cyrl-RS" w:eastAsia="sr-Latn-RS"/>
        </w:rPr>
        <w:t>72</w:t>
      </w:r>
      <w:r w:rsidR="00402FFD" w:rsidRPr="003E30A5">
        <w:rPr>
          <w:rFonts w:eastAsia="Times New Roman"/>
          <w:sz w:val="24"/>
          <w:szCs w:val="24"/>
          <w:lang w:val="sr-Cyrl-RS" w:eastAsia="sr-Latn-RS"/>
        </w:rPr>
        <w:t>. износ од  „</w:t>
      </w:r>
      <w:r w:rsidR="00C3465E" w:rsidRPr="00C3465E">
        <w:rPr>
          <w:rFonts w:eastAsia="Times New Roman"/>
          <w:sz w:val="24"/>
          <w:szCs w:val="24"/>
          <w:lang w:val="sr-Latn-RS" w:eastAsia="sr-Latn-RS"/>
        </w:rPr>
        <w:t>2.175.826,00</w:t>
      </w:r>
      <w:r w:rsidR="00402FFD" w:rsidRPr="003E30A5">
        <w:rPr>
          <w:rFonts w:eastAsia="Times New Roman"/>
          <w:sz w:val="24"/>
          <w:szCs w:val="24"/>
          <w:lang w:val="sr-Cyrl-RS" w:eastAsia="sr-Latn-RS"/>
        </w:rPr>
        <w:t xml:space="preserve">“ замењују се износом од </w:t>
      </w:r>
      <w:r w:rsidR="00C3465E">
        <w:rPr>
          <w:rFonts w:eastAsia="Times New Roman"/>
          <w:sz w:val="24"/>
          <w:szCs w:val="24"/>
          <w:lang w:val="sr-Latn-RS" w:eastAsia="sr-Latn-RS"/>
        </w:rPr>
        <w:t>„</w:t>
      </w:r>
      <w:r w:rsidR="00C3465E">
        <w:rPr>
          <w:rFonts w:eastAsia="Times New Roman"/>
          <w:b/>
          <w:sz w:val="24"/>
          <w:szCs w:val="24"/>
          <w:lang w:val="sr-Cyrl-RS"/>
        </w:rPr>
        <w:t>826.524</w:t>
      </w:r>
      <w:r w:rsidR="00402FFD" w:rsidRPr="003E30A5">
        <w:rPr>
          <w:rFonts w:eastAsia="Times New Roman"/>
          <w:b/>
          <w:sz w:val="24"/>
          <w:szCs w:val="24"/>
          <w:lang w:val="sr-Cyrl-RS"/>
        </w:rPr>
        <w:t>,00 динара</w:t>
      </w:r>
      <w:r w:rsidR="00C3465E">
        <w:rPr>
          <w:rFonts w:eastAsia="Times New Roman"/>
          <w:b/>
          <w:sz w:val="24"/>
          <w:szCs w:val="24"/>
          <w:lang w:val="sr-Cyrl-RS"/>
        </w:rPr>
        <w:t>“</w:t>
      </w:r>
      <w:r w:rsidR="00402FFD" w:rsidRPr="003E30A5">
        <w:rPr>
          <w:rFonts w:eastAsia="Times New Roman"/>
          <w:b/>
          <w:sz w:val="24"/>
          <w:szCs w:val="24"/>
          <w:lang w:val="sr-Cyrl-RS"/>
        </w:rPr>
        <w:t xml:space="preserve">,  бришу се редни бројеви </w:t>
      </w:r>
      <w:r w:rsidR="00C3465E">
        <w:rPr>
          <w:rFonts w:eastAsia="Times New Roman"/>
          <w:b/>
          <w:sz w:val="24"/>
          <w:szCs w:val="24"/>
          <w:lang w:val="sr-Cyrl-RS"/>
        </w:rPr>
        <w:t>35, 36, 38,52,57</w:t>
      </w:r>
      <w:r w:rsidR="00402FFD" w:rsidRPr="003E30A5">
        <w:rPr>
          <w:rFonts w:eastAsia="Times New Roman"/>
          <w:b/>
          <w:sz w:val="24"/>
          <w:szCs w:val="24"/>
          <w:lang w:val="sr-Cyrl-RS"/>
        </w:rPr>
        <w:t>, 71,</w:t>
      </w:r>
      <w:r w:rsidR="00C3465E">
        <w:rPr>
          <w:rFonts w:eastAsia="Times New Roman"/>
          <w:b/>
          <w:sz w:val="24"/>
          <w:szCs w:val="24"/>
          <w:lang w:val="sr-Cyrl-RS"/>
        </w:rPr>
        <w:t xml:space="preserve"> 81, 82</w:t>
      </w:r>
      <w:r w:rsidR="00402FFD" w:rsidRPr="003E30A5">
        <w:rPr>
          <w:rFonts w:eastAsia="Times New Roman"/>
          <w:b/>
          <w:sz w:val="24"/>
          <w:szCs w:val="24"/>
          <w:lang w:val="sr-Cyrl-RS"/>
        </w:rPr>
        <w:t xml:space="preserve"> и 94</w:t>
      </w:r>
      <w:r w:rsidR="00230939" w:rsidRPr="003E30A5">
        <w:rPr>
          <w:rFonts w:eastAsia="Times New Roman"/>
          <w:b/>
          <w:sz w:val="24"/>
          <w:szCs w:val="24"/>
          <w:lang w:val="sr-Cyrl-RS"/>
        </w:rPr>
        <w:t xml:space="preserve"> и врши се пренумерација редних бројева у табели</w:t>
      </w:r>
      <w:r w:rsidR="00402FFD" w:rsidRPr="003E30A5">
        <w:rPr>
          <w:rFonts w:eastAsia="Times New Roman"/>
          <w:b/>
          <w:sz w:val="24"/>
          <w:szCs w:val="24"/>
          <w:lang w:val="sr-Cyrl-RS"/>
        </w:rPr>
        <w:t xml:space="preserve">.  </w:t>
      </w:r>
    </w:p>
    <w:p w:rsidR="00402FFD" w:rsidRPr="00230939" w:rsidRDefault="00402FF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5748DD" w:rsidRPr="00230939" w:rsidRDefault="005748D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5748DD" w:rsidRPr="00230939" w:rsidRDefault="005748D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5748DD" w:rsidRPr="00230939" w:rsidRDefault="005748D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5748DD" w:rsidRPr="00230939" w:rsidRDefault="005748D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5748DD" w:rsidRPr="00230939" w:rsidRDefault="005748D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5748DD" w:rsidRPr="00230939" w:rsidRDefault="005748D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5748DD" w:rsidRPr="00230939" w:rsidRDefault="005748DD" w:rsidP="00402FFD">
      <w:pPr>
        <w:spacing w:after="0" w:line="240" w:lineRule="auto"/>
        <w:jc w:val="both"/>
        <w:rPr>
          <w:rFonts w:eastAsia="Times New Roman"/>
          <w:lang w:val="sr-Cyrl-RS" w:eastAsia="sr-Latn-RS"/>
        </w:rPr>
      </w:pPr>
    </w:p>
    <w:p w:rsidR="00CF2FAD" w:rsidRPr="00230939" w:rsidRDefault="00CF2FAD" w:rsidP="00402FFD">
      <w:pPr>
        <w:pStyle w:val="NoSpacing"/>
        <w:ind w:right="503"/>
        <w:jc w:val="both"/>
        <w:rPr>
          <w:lang w:val="sr-Cyrl-RS"/>
        </w:rPr>
      </w:pPr>
    </w:p>
    <w:p w:rsidR="00CF2FAD" w:rsidRPr="00230939" w:rsidRDefault="00402FFD" w:rsidP="00402FFD">
      <w:pPr>
        <w:pStyle w:val="memo"/>
        <w:ind w:right="51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230939">
        <w:rPr>
          <w:rFonts w:asciiTheme="minorHAnsi" w:hAnsiTheme="minorHAnsi"/>
          <w:sz w:val="24"/>
          <w:szCs w:val="24"/>
          <w:lang w:val="sr-Cyrl-RS"/>
        </w:rPr>
        <w:t>2.</w:t>
      </w:r>
    </w:p>
    <w:p w:rsidR="00402FFD" w:rsidRPr="00230939" w:rsidRDefault="00402FFD" w:rsidP="00402FFD">
      <w:pPr>
        <w:pStyle w:val="memo"/>
        <w:ind w:right="51"/>
        <w:rPr>
          <w:rFonts w:asciiTheme="minorHAnsi" w:hAnsiTheme="minorHAnsi"/>
          <w:sz w:val="24"/>
          <w:szCs w:val="24"/>
          <w:lang w:val="sr-Cyrl-RS"/>
        </w:rPr>
      </w:pPr>
      <w:r w:rsidRPr="00230939">
        <w:rPr>
          <w:rFonts w:asciiTheme="minorHAnsi" w:hAnsiTheme="minorHAnsi"/>
          <w:sz w:val="24"/>
          <w:szCs w:val="24"/>
          <w:lang w:val="sr-Cyrl-RS"/>
        </w:rPr>
        <w:t xml:space="preserve">После тачке 3. додаје се тачка 3а која гласи: </w:t>
      </w:r>
    </w:p>
    <w:p w:rsidR="00402FFD" w:rsidRPr="00230939" w:rsidRDefault="00402FFD" w:rsidP="00402FFD">
      <w:pPr>
        <w:pStyle w:val="memo"/>
        <w:ind w:right="51"/>
        <w:rPr>
          <w:rFonts w:asciiTheme="minorHAnsi" w:hAnsiTheme="minorHAnsi"/>
          <w:sz w:val="24"/>
          <w:szCs w:val="24"/>
          <w:lang w:val="sr-Cyrl-RS"/>
        </w:rPr>
      </w:pPr>
      <w:r w:rsidRPr="00230939">
        <w:rPr>
          <w:rFonts w:asciiTheme="minorHAnsi" w:hAnsiTheme="minorHAnsi"/>
          <w:sz w:val="24"/>
          <w:szCs w:val="24"/>
          <w:lang w:val="sr-Cyrl-RS"/>
        </w:rPr>
        <w:t xml:space="preserve">„ </w:t>
      </w:r>
      <w:r w:rsidR="005748DD" w:rsidRPr="00230939">
        <w:rPr>
          <w:rFonts w:asciiTheme="minorHAnsi" w:hAnsiTheme="minorHAnsi"/>
          <w:sz w:val="24"/>
          <w:szCs w:val="24"/>
          <w:lang w:val="sr-Cyrl-RS"/>
        </w:rPr>
        <w:t>Због одустанака</w:t>
      </w:r>
      <w:r w:rsidR="00C3465E">
        <w:rPr>
          <w:rFonts w:asciiTheme="minorHAnsi" w:hAnsiTheme="minorHAnsi"/>
          <w:sz w:val="24"/>
          <w:szCs w:val="24"/>
          <w:lang w:val="sr-Cyrl-RS"/>
        </w:rPr>
        <w:t xml:space="preserve"> и негативног извештаја завршне контроле</w:t>
      </w:r>
      <w:r w:rsidR="005748DD" w:rsidRPr="00230939">
        <w:rPr>
          <w:rFonts w:asciiTheme="minorHAnsi" w:hAnsiTheme="minorHAnsi"/>
          <w:sz w:val="24"/>
          <w:szCs w:val="24"/>
          <w:lang w:val="sr-Cyrl-RS"/>
        </w:rPr>
        <w:t xml:space="preserve"> подносиоца пријава након потписивања уговора, р</w:t>
      </w:r>
      <w:r w:rsidRPr="00230939">
        <w:rPr>
          <w:rFonts w:asciiTheme="minorHAnsi" w:hAnsiTheme="minorHAnsi"/>
          <w:sz w:val="24"/>
          <w:szCs w:val="24"/>
          <w:lang w:val="sr-Cyrl-RS"/>
        </w:rPr>
        <w:t xml:space="preserve">аскидају се уговори: </w:t>
      </w:r>
    </w:p>
    <w:p w:rsidR="005748DD" w:rsidRPr="00230939" w:rsidRDefault="005748DD" w:rsidP="00402FFD">
      <w:pPr>
        <w:pStyle w:val="memo"/>
        <w:ind w:right="51"/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160"/>
        <w:gridCol w:w="1640"/>
        <w:gridCol w:w="1386"/>
      </w:tblGrid>
      <w:tr w:rsidR="00230939" w:rsidRPr="00757DB2" w:rsidTr="005748DD">
        <w:trPr>
          <w:trHeight w:val="300"/>
        </w:trPr>
        <w:tc>
          <w:tcPr>
            <w:tcW w:w="1380" w:type="dxa"/>
            <w:shd w:val="clear" w:color="000000" w:fill="33CCCC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160" w:type="dxa"/>
            <w:shd w:val="clear" w:color="000000" w:fill="33CCCC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640" w:type="dxa"/>
            <w:shd w:val="clear" w:color="000000" w:fill="33CCCC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386" w:type="dxa"/>
            <w:shd w:val="clear" w:color="000000" w:fill="33CCCC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230939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3581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Предраг Рајић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Хртковци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567.343,00</w:t>
            </w:r>
          </w:p>
        </w:tc>
      </w:tr>
      <w:tr w:rsidR="00230939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2937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Марко Шешум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340.299,00</w:t>
            </w:r>
          </w:p>
        </w:tc>
      </w:tr>
      <w:tr w:rsidR="00230939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3396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Бранислав Радојчић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248.454,00</w:t>
            </w:r>
          </w:p>
        </w:tc>
      </w:tr>
      <w:tr w:rsidR="00230939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2934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Вук Ђурица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160.667,00</w:t>
            </w:r>
          </w:p>
        </w:tc>
      </w:tr>
      <w:tr w:rsidR="00230939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3397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Мирослав Куљић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204.704,00</w:t>
            </w:r>
          </w:p>
        </w:tc>
      </w:tr>
      <w:tr w:rsidR="00230939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641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Марко Андрић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748DD" w:rsidRPr="00757DB2" w:rsidRDefault="005748DD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370.580,00</w:t>
            </w:r>
          </w:p>
        </w:tc>
      </w:tr>
      <w:tr w:rsidR="005748DD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748DD" w:rsidRPr="00757DB2" w:rsidRDefault="00C3465E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1351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5748DD" w:rsidRPr="00757DB2" w:rsidRDefault="00C3465E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Марко Фијала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748DD" w:rsidRPr="00757DB2" w:rsidRDefault="00C3465E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Нови Сланкамен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5748DD" w:rsidRPr="00757DB2" w:rsidRDefault="00C3465E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571.891,00</w:t>
            </w:r>
          </w:p>
        </w:tc>
      </w:tr>
      <w:tr w:rsidR="00C3465E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</w:tcPr>
          <w:p w:rsidR="00C3465E" w:rsidRPr="00757DB2" w:rsidRDefault="00C3465E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1663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465E" w:rsidRPr="00757DB2" w:rsidRDefault="00C3465E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</w:pPr>
            <w:proofErr w:type="spellStart"/>
            <w:r w:rsidRPr="00757DB2"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  <w:t>Петар</w:t>
            </w:r>
            <w:proofErr w:type="spellEnd"/>
            <w:r w:rsidRPr="00757DB2"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757DB2"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  <w:t>Кећански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C3465E" w:rsidRPr="00757DB2" w:rsidRDefault="00C3465E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Товаришево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C3465E" w:rsidRPr="00757DB2" w:rsidRDefault="00C3465E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778.146,00</w:t>
            </w:r>
          </w:p>
        </w:tc>
      </w:tr>
      <w:tr w:rsidR="00C3465E" w:rsidRPr="00757DB2" w:rsidTr="00757DB2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</w:tcPr>
          <w:p w:rsidR="00C3465E" w:rsidRPr="00757DB2" w:rsidRDefault="00757DB2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2764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465E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Бојан Мијић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C3465E" w:rsidRPr="00757DB2" w:rsidRDefault="00757DB2" w:rsidP="005748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Марадик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C3465E" w:rsidRPr="00757DB2" w:rsidRDefault="00757DB2" w:rsidP="005748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442.920,00</w:t>
            </w:r>
          </w:p>
        </w:tc>
      </w:tr>
    </w:tbl>
    <w:p w:rsidR="00402FFD" w:rsidRPr="00230939" w:rsidRDefault="00402FFD" w:rsidP="00402FFD">
      <w:pPr>
        <w:pStyle w:val="memo"/>
        <w:ind w:right="51"/>
        <w:rPr>
          <w:rFonts w:asciiTheme="minorHAnsi" w:hAnsiTheme="minorHAnsi"/>
          <w:sz w:val="24"/>
          <w:szCs w:val="24"/>
          <w:lang w:val="sr-Cyrl-RS"/>
        </w:rPr>
      </w:pPr>
    </w:p>
    <w:p w:rsidR="00CF2FAD" w:rsidRPr="00230939" w:rsidRDefault="00CF2FAD" w:rsidP="00CF2FAD">
      <w:pPr>
        <w:pStyle w:val="memo"/>
        <w:ind w:right="51"/>
        <w:rPr>
          <w:rFonts w:asciiTheme="minorHAnsi" w:hAnsiTheme="minorHAnsi"/>
          <w:sz w:val="24"/>
          <w:szCs w:val="24"/>
          <w:lang w:val="sr-Cyrl-RS"/>
        </w:rPr>
      </w:pPr>
    </w:p>
    <w:p w:rsidR="00CF2FAD" w:rsidRPr="00230939" w:rsidRDefault="00CF2FAD" w:rsidP="00CF2FAD">
      <w:pPr>
        <w:pStyle w:val="memo"/>
        <w:ind w:right="51"/>
        <w:rPr>
          <w:rFonts w:asciiTheme="minorHAnsi" w:hAnsiTheme="minorHAnsi"/>
          <w:sz w:val="24"/>
          <w:szCs w:val="24"/>
          <w:lang w:val="sr-Cyrl-RS"/>
        </w:rPr>
      </w:pPr>
      <w:r w:rsidRPr="00230939">
        <w:rPr>
          <w:rFonts w:asciiTheme="minorHAnsi" w:hAnsiTheme="minorHAnsi"/>
          <w:sz w:val="24"/>
          <w:szCs w:val="24"/>
          <w:lang w:val="sr-Cyrl-RS"/>
        </w:rPr>
        <w:t xml:space="preserve"> </w:t>
      </w:r>
    </w:p>
    <w:p w:rsidR="00CF2FAD" w:rsidRPr="00230939" w:rsidRDefault="00CF2FAD" w:rsidP="00CF2FAD">
      <w:pPr>
        <w:pStyle w:val="memo"/>
        <w:ind w:right="51"/>
        <w:rPr>
          <w:rFonts w:asciiTheme="minorHAnsi" w:hAnsiTheme="minorHAnsi"/>
          <w:sz w:val="24"/>
          <w:szCs w:val="24"/>
          <w:lang w:val="sr-Cyrl-RS"/>
        </w:rPr>
      </w:pPr>
    </w:p>
    <w:p w:rsidR="00B00E6C" w:rsidRPr="00230939" w:rsidRDefault="00B00E6C" w:rsidP="00596CBF">
      <w:pPr>
        <w:spacing w:after="0" w:line="240" w:lineRule="auto"/>
        <w:ind w:firstLine="567"/>
        <w:jc w:val="both"/>
      </w:pPr>
    </w:p>
    <w:p w:rsidR="00B00E6C" w:rsidRPr="00230939" w:rsidRDefault="00B00E6C" w:rsidP="00B00E6C">
      <w:pPr>
        <w:spacing w:after="0" w:line="240" w:lineRule="auto"/>
        <w:ind w:firstLine="567"/>
        <w:jc w:val="center"/>
        <w:rPr>
          <w:lang w:val="sr-Cyrl-RS"/>
        </w:rPr>
      </w:pPr>
      <w:r w:rsidRPr="00230939">
        <w:rPr>
          <w:lang w:val="sr-Cyrl-RS"/>
        </w:rPr>
        <w:t>О б р а з л о ж е њ е</w:t>
      </w:r>
    </w:p>
    <w:p w:rsidR="00B00E6C" w:rsidRPr="00230939" w:rsidRDefault="00B00E6C" w:rsidP="00B00E6C">
      <w:pPr>
        <w:spacing w:after="0" w:line="240" w:lineRule="auto"/>
        <w:ind w:firstLine="567"/>
        <w:jc w:val="center"/>
        <w:rPr>
          <w:lang w:val="sr-Cyrl-RS"/>
        </w:rPr>
      </w:pPr>
    </w:p>
    <w:p w:rsidR="00596CBF" w:rsidRPr="00230939" w:rsidRDefault="00596CBF" w:rsidP="00596CBF">
      <w:pPr>
        <w:spacing w:after="0" w:line="240" w:lineRule="auto"/>
        <w:ind w:firstLine="567"/>
        <w:jc w:val="both"/>
        <w:rPr>
          <w:b/>
          <w:sz w:val="24"/>
          <w:szCs w:val="24"/>
          <w:lang w:val="sr-Cyrl-CS"/>
        </w:rPr>
      </w:pPr>
      <w:proofErr w:type="spellStart"/>
      <w:r w:rsidRPr="00230939">
        <w:rPr>
          <w:sz w:val="24"/>
          <w:szCs w:val="24"/>
        </w:rPr>
        <w:t>Покрајински</w:t>
      </w:r>
      <w:proofErr w:type="spellEnd"/>
      <w:r w:rsidRPr="00230939">
        <w:rPr>
          <w:sz w:val="24"/>
          <w:szCs w:val="24"/>
        </w:rPr>
        <w:t xml:space="preserve"> </w:t>
      </w:r>
      <w:proofErr w:type="spellStart"/>
      <w:r w:rsidRPr="00230939">
        <w:rPr>
          <w:sz w:val="24"/>
          <w:szCs w:val="24"/>
        </w:rPr>
        <w:t>секретаријат</w:t>
      </w:r>
      <w:proofErr w:type="spellEnd"/>
      <w:r w:rsidRPr="00230939">
        <w:rPr>
          <w:sz w:val="24"/>
          <w:szCs w:val="24"/>
        </w:rPr>
        <w:t xml:space="preserve"> </w:t>
      </w:r>
      <w:proofErr w:type="spellStart"/>
      <w:r w:rsidRPr="00230939">
        <w:rPr>
          <w:sz w:val="24"/>
          <w:szCs w:val="24"/>
        </w:rPr>
        <w:t>за</w:t>
      </w:r>
      <w:proofErr w:type="spellEnd"/>
      <w:r w:rsidRPr="00230939">
        <w:rPr>
          <w:sz w:val="24"/>
          <w:szCs w:val="24"/>
        </w:rPr>
        <w:t xml:space="preserve"> </w:t>
      </w:r>
      <w:proofErr w:type="spellStart"/>
      <w:r w:rsidRPr="00230939">
        <w:rPr>
          <w:sz w:val="24"/>
          <w:szCs w:val="24"/>
        </w:rPr>
        <w:t>пољопривреду</w:t>
      </w:r>
      <w:proofErr w:type="spellEnd"/>
      <w:r w:rsidRPr="00230939">
        <w:rPr>
          <w:sz w:val="24"/>
          <w:szCs w:val="24"/>
        </w:rPr>
        <w:t xml:space="preserve">, </w:t>
      </w:r>
      <w:proofErr w:type="spellStart"/>
      <w:r w:rsidRPr="00230939">
        <w:rPr>
          <w:sz w:val="24"/>
          <w:szCs w:val="24"/>
        </w:rPr>
        <w:t>водопривреду</w:t>
      </w:r>
      <w:proofErr w:type="spellEnd"/>
      <w:r w:rsidRPr="00230939">
        <w:rPr>
          <w:sz w:val="24"/>
          <w:szCs w:val="24"/>
        </w:rPr>
        <w:t xml:space="preserve"> и </w:t>
      </w:r>
      <w:proofErr w:type="spellStart"/>
      <w:r w:rsidRPr="00230939">
        <w:rPr>
          <w:sz w:val="24"/>
          <w:szCs w:val="24"/>
        </w:rPr>
        <w:t>шумарс</w:t>
      </w:r>
      <w:proofErr w:type="spellEnd"/>
      <w:r w:rsidRPr="00230939">
        <w:rPr>
          <w:sz w:val="24"/>
          <w:szCs w:val="24"/>
          <w:lang w:val="sr-Cyrl-RS"/>
        </w:rPr>
        <w:t>т</w:t>
      </w:r>
      <w:proofErr w:type="spellStart"/>
      <w:r w:rsidRPr="00230939">
        <w:rPr>
          <w:sz w:val="24"/>
          <w:szCs w:val="24"/>
        </w:rPr>
        <w:t>во</w:t>
      </w:r>
      <w:proofErr w:type="spellEnd"/>
      <w:r w:rsidRPr="00230939">
        <w:rPr>
          <w:sz w:val="24"/>
          <w:szCs w:val="24"/>
          <w:lang w:val="sr-Cyrl-RS"/>
        </w:rPr>
        <w:t xml:space="preserve"> (у даљем тексту: Секретаријат</w:t>
      </w:r>
      <w:proofErr w:type="gramStart"/>
      <w:r w:rsidRPr="00230939">
        <w:rPr>
          <w:sz w:val="24"/>
          <w:szCs w:val="24"/>
          <w:lang w:val="sr-Cyrl-RS"/>
        </w:rPr>
        <w:t>),  објавио</w:t>
      </w:r>
      <w:proofErr w:type="gramEnd"/>
      <w:r w:rsidRPr="00230939">
        <w:rPr>
          <w:sz w:val="24"/>
          <w:szCs w:val="24"/>
          <w:lang w:val="sr-Cyrl-RS"/>
        </w:rPr>
        <w:t xml:space="preserve"> је </w:t>
      </w:r>
      <w:proofErr w:type="spellStart"/>
      <w:r w:rsidRPr="00230939">
        <w:rPr>
          <w:rFonts w:eastAsia="Times New Roman"/>
          <w:sz w:val="24"/>
          <w:szCs w:val="24"/>
        </w:rPr>
        <w:t>Конкурс</w:t>
      </w:r>
      <w:proofErr w:type="spellEnd"/>
      <w:r w:rsidRPr="00230939">
        <w:rPr>
          <w:rFonts w:eastAsia="Times New Roman"/>
          <w:sz w:val="24"/>
          <w:szCs w:val="24"/>
        </w:rPr>
        <w:t xml:space="preserve"> </w:t>
      </w:r>
      <w:r w:rsidR="00C147A7" w:rsidRPr="00230939"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C147A7" w:rsidRPr="00230939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C147A7" w:rsidRPr="00230939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147A7" w:rsidRPr="00230939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147A7" w:rsidRPr="00230939">
        <w:rPr>
          <w:rFonts w:eastAsia="Times New Roman"/>
          <w:bCs/>
          <w:sz w:val="24"/>
          <w:szCs w:val="24"/>
        </w:rPr>
        <w:t>1</w:t>
      </w:r>
      <w:r w:rsidR="00C147A7" w:rsidRPr="00230939">
        <w:rPr>
          <w:rFonts w:eastAsia="Times New Roman"/>
          <w:bCs/>
          <w:sz w:val="24"/>
          <w:szCs w:val="24"/>
          <w:lang w:val="sr-Cyrl-RS"/>
        </w:rPr>
        <w:t>. години</w:t>
      </w:r>
      <w:r w:rsidR="00C147A7" w:rsidRPr="00230939">
        <w:rPr>
          <w:bCs/>
          <w:sz w:val="24"/>
          <w:szCs w:val="24"/>
          <w:lang w:val="sr-Latn-RS"/>
        </w:rPr>
        <w:t xml:space="preserve"> </w:t>
      </w:r>
      <w:r w:rsidR="00C147A7" w:rsidRPr="00230939">
        <w:rPr>
          <w:b/>
          <w:bCs/>
          <w:sz w:val="24"/>
          <w:szCs w:val="24"/>
          <w:lang w:val="sr-Latn-RS"/>
        </w:rPr>
        <w:t xml:space="preserve"> </w:t>
      </w:r>
      <w:r w:rsidRPr="00230939">
        <w:rPr>
          <w:noProof/>
          <w:sz w:val="24"/>
          <w:szCs w:val="24"/>
          <w:lang w:val="sr-Latn-CS"/>
        </w:rPr>
        <w:t>(у даљем тексту: Конкурс)</w:t>
      </w:r>
      <w:r w:rsidRPr="00230939">
        <w:rPr>
          <w:noProof/>
          <w:sz w:val="24"/>
          <w:szCs w:val="24"/>
          <w:lang w:val="sr-Cyrl-RS"/>
        </w:rPr>
        <w:t xml:space="preserve"> у дневном листу „Дневник“</w:t>
      </w:r>
      <w:r w:rsidRPr="00230939">
        <w:rPr>
          <w:noProof/>
          <w:sz w:val="24"/>
          <w:szCs w:val="24"/>
          <w:lang w:val="sr-Latn-CS"/>
        </w:rPr>
        <w:t xml:space="preserve"> дана </w:t>
      </w:r>
      <w:r w:rsidRPr="00230939">
        <w:rPr>
          <w:noProof/>
          <w:sz w:val="24"/>
          <w:szCs w:val="24"/>
          <w:lang w:val="sr-Cyrl-RS"/>
        </w:rPr>
        <w:t>01.02.2021.</w:t>
      </w:r>
      <w:r w:rsidRPr="00230939">
        <w:rPr>
          <w:noProof/>
          <w:sz w:val="24"/>
          <w:szCs w:val="24"/>
          <w:lang w:val="sr-Latn-CS"/>
        </w:rPr>
        <w:t xml:space="preserve"> године</w:t>
      </w:r>
      <w:r w:rsidRPr="00230939">
        <w:rPr>
          <w:noProof/>
          <w:sz w:val="24"/>
          <w:szCs w:val="24"/>
          <w:lang w:val="sr-Cyrl-RS"/>
        </w:rPr>
        <w:t xml:space="preserve">  и </w:t>
      </w:r>
      <w:r w:rsidRPr="00230939">
        <w:rPr>
          <w:noProof/>
          <w:sz w:val="24"/>
          <w:szCs w:val="24"/>
          <w:lang w:val="sr-Latn-CS"/>
        </w:rPr>
        <w:t>„Службен</w:t>
      </w:r>
      <w:r w:rsidRPr="00230939">
        <w:rPr>
          <w:noProof/>
          <w:sz w:val="24"/>
          <w:szCs w:val="24"/>
          <w:lang w:val="sr-Cyrl-RS"/>
        </w:rPr>
        <w:t>ом</w:t>
      </w:r>
      <w:r w:rsidRPr="00230939">
        <w:rPr>
          <w:noProof/>
          <w:sz w:val="24"/>
          <w:szCs w:val="24"/>
          <w:lang w:val="sr-Latn-CS"/>
        </w:rPr>
        <w:t xml:space="preserve"> лист</w:t>
      </w:r>
      <w:r w:rsidRPr="00230939">
        <w:rPr>
          <w:noProof/>
          <w:sz w:val="24"/>
          <w:szCs w:val="24"/>
          <w:lang w:val="sr-Cyrl-RS"/>
        </w:rPr>
        <w:t>у</w:t>
      </w:r>
      <w:r w:rsidRPr="00230939">
        <w:rPr>
          <w:noProof/>
          <w:sz w:val="24"/>
          <w:szCs w:val="24"/>
          <w:lang w:val="sr-Latn-CS"/>
        </w:rPr>
        <w:t xml:space="preserve"> АПВ“</w:t>
      </w:r>
      <w:r w:rsidRPr="00230939">
        <w:rPr>
          <w:noProof/>
          <w:sz w:val="24"/>
          <w:szCs w:val="24"/>
          <w:lang w:val="sr-Cyrl-RS"/>
        </w:rPr>
        <w:t xml:space="preserve"> </w:t>
      </w:r>
      <w:r w:rsidRPr="00230939">
        <w:rPr>
          <w:noProof/>
          <w:sz w:val="24"/>
          <w:szCs w:val="24"/>
          <w:lang w:val="sr-Latn-CS"/>
        </w:rPr>
        <w:t xml:space="preserve">број </w:t>
      </w:r>
      <w:r w:rsidRPr="00230939">
        <w:rPr>
          <w:noProof/>
          <w:sz w:val="24"/>
          <w:szCs w:val="24"/>
          <w:lang w:val="ru-RU"/>
        </w:rPr>
        <w:t>5/</w:t>
      </w:r>
      <w:r w:rsidRPr="00230939">
        <w:rPr>
          <w:noProof/>
          <w:sz w:val="24"/>
          <w:szCs w:val="24"/>
        </w:rPr>
        <w:t>2021</w:t>
      </w:r>
      <w:r w:rsidRPr="00230939">
        <w:rPr>
          <w:noProof/>
          <w:sz w:val="24"/>
          <w:szCs w:val="24"/>
          <w:lang w:val="sr-Cyrl-RS"/>
        </w:rPr>
        <w:t xml:space="preserve"> године </w:t>
      </w:r>
      <w:r w:rsidRPr="00230939">
        <w:rPr>
          <w:noProof/>
          <w:sz w:val="24"/>
          <w:szCs w:val="24"/>
          <w:lang w:val="sr-Latn-CS"/>
        </w:rPr>
        <w:t xml:space="preserve">и донео је </w:t>
      </w:r>
      <w:r w:rsidR="00C147A7" w:rsidRPr="00230939">
        <w:rPr>
          <w:sz w:val="24"/>
          <w:szCs w:val="24"/>
          <w:lang w:val="sr-Cyrl-RS"/>
        </w:rPr>
        <w:t xml:space="preserve">Правилника </w:t>
      </w:r>
      <w:r w:rsidR="00C147A7" w:rsidRPr="00230939">
        <w:rPr>
          <w:rFonts w:eastAsia="Times New Roman" w:cs="Verdana"/>
          <w:sz w:val="24"/>
          <w:szCs w:val="24"/>
          <w:lang w:val="sr-Cyrl-CS" w:eastAsia="sr-Cyrl-RS"/>
        </w:rPr>
        <w:t xml:space="preserve">за спровођење </w:t>
      </w:r>
      <w:r w:rsidR="00C147A7" w:rsidRPr="00230939">
        <w:rPr>
          <w:rFonts w:eastAsia="Times New Roman"/>
          <w:sz w:val="24"/>
          <w:szCs w:val="24"/>
          <w:lang w:val="sr-Cyrl-CS"/>
        </w:rPr>
        <w:t>К</w:t>
      </w:r>
      <w:r w:rsidR="00C147A7" w:rsidRPr="00230939">
        <w:rPr>
          <w:rFonts w:eastAsia="Times New Roman"/>
          <w:bCs/>
          <w:sz w:val="24"/>
          <w:szCs w:val="24"/>
          <w:lang w:val="sr-Latn-RS"/>
        </w:rPr>
        <w:t>онкурс</w:t>
      </w:r>
      <w:r w:rsidR="00C147A7" w:rsidRPr="00230939">
        <w:rPr>
          <w:rFonts w:eastAsia="Times New Roman"/>
          <w:bCs/>
          <w:sz w:val="24"/>
          <w:szCs w:val="24"/>
          <w:lang w:val="sr-Cyrl-RS"/>
        </w:rPr>
        <w:t>а</w:t>
      </w:r>
      <w:r w:rsidR="00C147A7" w:rsidRPr="00230939">
        <w:rPr>
          <w:rFonts w:eastAsia="Times New Roman"/>
          <w:sz w:val="24"/>
          <w:szCs w:val="24"/>
          <w:lang w:val="sr-Cyrl-RS"/>
        </w:rPr>
        <w:t xml:space="preserve"> </w:t>
      </w:r>
      <w:r w:rsidR="00C147A7" w:rsidRPr="00230939">
        <w:rPr>
          <w:rFonts w:eastAsia="Times New Roman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C147A7" w:rsidRPr="00230939">
        <w:rPr>
          <w:rFonts w:eastAsia="Times New Roman"/>
          <w:bCs/>
          <w:sz w:val="24"/>
          <w:szCs w:val="24"/>
          <w:lang w:val="sr-Cyrl-RS"/>
        </w:rPr>
        <w:t>инвестиција у</w:t>
      </w:r>
      <w:r w:rsidR="00C147A7" w:rsidRPr="00230939">
        <w:rPr>
          <w:rFonts w:eastAsia="Times New Roman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147A7" w:rsidRPr="00230939">
        <w:rPr>
          <w:rFonts w:eastAsia="Times New Roman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147A7" w:rsidRPr="00230939">
        <w:rPr>
          <w:rFonts w:eastAsia="Times New Roman"/>
          <w:bCs/>
          <w:sz w:val="24"/>
          <w:szCs w:val="24"/>
        </w:rPr>
        <w:t>1</w:t>
      </w:r>
      <w:r w:rsidR="00C147A7" w:rsidRPr="00230939">
        <w:rPr>
          <w:rFonts w:eastAsia="Times New Roman"/>
          <w:bCs/>
          <w:sz w:val="24"/>
          <w:szCs w:val="24"/>
          <w:lang w:val="sr-Cyrl-RS"/>
        </w:rPr>
        <w:t>. години</w:t>
      </w:r>
      <w:r w:rsidR="00C147A7" w:rsidRPr="00230939">
        <w:rPr>
          <w:bCs/>
          <w:sz w:val="24"/>
          <w:szCs w:val="24"/>
          <w:lang w:val="sr-Latn-RS"/>
        </w:rPr>
        <w:t xml:space="preserve"> </w:t>
      </w:r>
      <w:r w:rsidRPr="00230939">
        <w:rPr>
          <w:noProof/>
          <w:sz w:val="24"/>
          <w:szCs w:val="24"/>
          <w:lang w:val="sr-Cyrl-RS"/>
        </w:rPr>
        <w:t>(</w:t>
      </w:r>
      <w:r w:rsidRPr="00230939">
        <w:rPr>
          <w:sz w:val="24"/>
          <w:szCs w:val="24"/>
          <w:lang w:val="ru-RU"/>
        </w:rPr>
        <w:t>Службени лист АПВ“ број 5/</w:t>
      </w:r>
      <w:r w:rsidRPr="00230939">
        <w:rPr>
          <w:sz w:val="24"/>
          <w:szCs w:val="24"/>
        </w:rPr>
        <w:t>2021</w:t>
      </w:r>
      <w:r w:rsidRPr="00230939">
        <w:rPr>
          <w:sz w:val="24"/>
          <w:szCs w:val="24"/>
          <w:lang w:val="sr-Cyrl-RS"/>
        </w:rPr>
        <w:t>)</w:t>
      </w:r>
      <w:r w:rsidRPr="00230939">
        <w:rPr>
          <w:noProof/>
          <w:sz w:val="24"/>
          <w:szCs w:val="24"/>
          <w:lang w:val="sr-Latn-CS"/>
        </w:rPr>
        <w:t xml:space="preserve"> (у даљем тексту: Правилник</w:t>
      </w:r>
      <w:r w:rsidRPr="00230939">
        <w:rPr>
          <w:noProof/>
          <w:sz w:val="24"/>
          <w:szCs w:val="24"/>
          <w:lang w:val="sr-Cyrl-RS"/>
        </w:rPr>
        <w:t>).</w:t>
      </w:r>
    </w:p>
    <w:p w:rsidR="00596CBF" w:rsidRDefault="00596CBF" w:rsidP="00596CB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4"/>
          <w:szCs w:val="24"/>
          <w:lang w:val="sr-Cyrl-RS"/>
        </w:rPr>
      </w:pPr>
      <w:r w:rsidRPr="00230939">
        <w:rPr>
          <w:rFonts w:eastAsia="Times New Roman"/>
          <w:noProof/>
          <w:sz w:val="24"/>
          <w:szCs w:val="24"/>
          <w:lang w:val="sr-Cyrl-RS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757DB2" w:rsidRDefault="00230939" w:rsidP="00596CBF">
      <w:pPr>
        <w:spacing w:after="0" w:line="240" w:lineRule="auto"/>
        <w:ind w:firstLine="709"/>
        <w:contextualSpacing/>
        <w:jc w:val="both"/>
        <w:rPr>
          <w:bCs/>
          <w:noProof/>
          <w:sz w:val="20"/>
          <w:szCs w:val="20"/>
          <w:lang w:val="sr-Cyrl-RS"/>
        </w:rPr>
      </w:pPr>
      <w:r w:rsidRPr="00757DB2">
        <w:rPr>
          <w:noProof/>
          <w:lang w:val="sr-Cyrl-RS"/>
        </w:rPr>
        <w:t xml:space="preserve">Дана 23.04.2021. године Покрајински секретаријат за пољопривреду, водопривреду и шумарство донео је Одлуку о додели средстава по </w:t>
      </w:r>
      <w:r w:rsidRPr="00757DB2">
        <w:rPr>
          <w:bCs/>
          <w:noProof/>
          <w:lang w:val="sr-Cyrl-RS"/>
        </w:rPr>
        <w:t>К</w:t>
      </w:r>
      <w:r w:rsidRPr="00757DB2">
        <w:rPr>
          <w:bCs/>
          <w:noProof/>
          <w:lang w:val="sr-Latn-RS"/>
        </w:rPr>
        <w:t>онкурс</w:t>
      </w:r>
      <w:r w:rsidRPr="00757DB2">
        <w:rPr>
          <w:noProof/>
          <w:lang w:val="sr-Cyrl-RS"/>
        </w:rPr>
        <w:t xml:space="preserve">у </w:t>
      </w:r>
      <w:r w:rsidRPr="00757DB2">
        <w:rPr>
          <w:bCs/>
          <w:noProof/>
          <w:lang w:val="sr-Latn-RS"/>
        </w:rPr>
        <w:t xml:space="preserve">за доделу средстава за суфинансирање </w:t>
      </w:r>
      <w:r w:rsidRPr="00757DB2">
        <w:rPr>
          <w:bCs/>
          <w:noProof/>
          <w:lang w:val="sr-Cyrl-RS"/>
        </w:rPr>
        <w:t>инвестиција у</w:t>
      </w:r>
      <w:r w:rsidRPr="00757DB2">
        <w:rPr>
          <w:bCs/>
          <w:noProof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Pr="00757DB2">
        <w:rPr>
          <w:bCs/>
          <w:noProof/>
          <w:lang w:val="sr-Cyrl-RS"/>
        </w:rPr>
        <w:t>производних засада воћака, винове лозе и хмеља у 202</w:t>
      </w:r>
      <w:r w:rsidRPr="00757DB2">
        <w:rPr>
          <w:bCs/>
          <w:noProof/>
        </w:rPr>
        <w:t>1</w:t>
      </w:r>
      <w:r w:rsidRPr="00757DB2">
        <w:rPr>
          <w:bCs/>
          <w:noProof/>
          <w:lang w:val="sr-Cyrl-RS"/>
        </w:rPr>
        <w:t>. години, а дана 09.09.2021. године вршена је исправка предметне одлуке</w:t>
      </w:r>
      <w:r>
        <w:rPr>
          <w:bCs/>
          <w:noProof/>
          <w:sz w:val="20"/>
          <w:szCs w:val="20"/>
          <w:lang w:val="sr-Cyrl-RS"/>
        </w:rPr>
        <w:t xml:space="preserve">. </w:t>
      </w:r>
    </w:p>
    <w:p w:rsidR="00230939" w:rsidRPr="00757DB2" w:rsidRDefault="00230939" w:rsidP="00596CBF">
      <w:pPr>
        <w:spacing w:after="0" w:line="240" w:lineRule="auto"/>
        <w:ind w:firstLine="709"/>
        <w:contextualSpacing/>
        <w:jc w:val="both"/>
        <w:rPr>
          <w:rFonts w:asciiTheme="minorHAnsi" w:hAnsiTheme="minorHAnsi"/>
          <w:bCs/>
          <w:noProof/>
          <w:lang w:val="sr-Cyrl-RS"/>
        </w:rPr>
      </w:pPr>
      <w:r>
        <w:rPr>
          <w:bCs/>
          <w:noProof/>
          <w:sz w:val="20"/>
          <w:szCs w:val="20"/>
          <w:lang w:val="sr-Cyrl-RS"/>
        </w:rPr>
        <w:lastRenderedPageBreak/>
        <w:br/>
      </w:r>
      <w:r>
        <w:rPr>
          <w:bCs/>
          <w:noProof/>
          <w:sz w:val="20"/>
          <w:szCs w:val="20"/>
          <w:lang w:val="sr-Cyrl-RS"/>
        </w:rPr>
        <w:tab/>
      </w:r>
      <w:r w:rsidRPr="00757DB2">
        <w:rPr>
          <w:rFonts w:asciiTheme="minorHAnsi" w:hAnsiTheme="minorHAnsi"/>
          <w:bCs/>
          <w:noProof/>
          <w:lang w:val="sr-Cyrl-RS"/>
        </w:rPr>
        <w:t xml:space="preserve">Од дана закључења угвора до </w:t>
      </w:r>
      <w:r w:rsidR="00757DB2" w:rsidRPr="00757DB2">
        <w:rPr>
          <w:rFonts w:asciiTheme="minorHAnsi" w:hAnsiTheme="minorHAnsi"/>
          <w:bCs/>
          <w:noProof/>
          <w:lang w:val="sr-Cyrl-RS"/>
        </w:rPr>
        <w:t>23.12</w:t>
      </w:r>
      <w:r w:rsidRPr="00757DB2">
        <w:rPr>
          <w:rFonts w:asciiTheme="minorHAnsi" w:hAnsiTheme="minorHAnsi"/>
          <w:bCs/>
          <w:noProof/>
          <w:lang w:val="sr-Cyrl-RS"/>
        </w:rPr>
        <w:t xml:space="preserve">.2021. године </w:t>
      </w:r>
      <w:r w:rsidR="00757DB2">
        <w:rPr>
          <w:rFonts w:asciiTheme="minorHAnsi" w:hAnsiTheme="minorHAnsi"/>
          <w:bCs/>
          <w:noProof/>
          <w:lang w:val="sr-Cyrl-RS"/>
        </w:rPr>
        <w:t>раскинути су уговори са следећим Корисницима</w:t>
      </w:r>
      <w:r w:rsidRPr="00757DB2">
        <w:rPr>
          <w:rFonts w:asciiTheme="minorHAnsi" w:hAnsiTheme="minorHAnsi"/>
          <w:bCs/>
          <w:noProof/>
          <w:lang w:val="sr-Cyrl-RS"/>
        </w:rPr>
        <w:t xml:space="preserve"> средст</w:t>
      </w:r>
      <w:r w:rsidR="00757DB2">
        <w:rPr>
          <w:rFonts w:asciiTheme="minorHAnsi" w:hAnsiTheme="minorHAnsi"/>
          <w:bCs/>
          <w:noProof/>
          <w:lang w:val="sr-Cyrl-RS"/>
        </w:rPr>
        <w:t>а</w:t>
      </w:r>
      <w:r w:rsidRPr="00757DB2">
        <w:rPr>
          <w:rFonts w:asciiTheme="minorHAnsi" w:hAnsiTheme="minorHAnsi"/>
          <w:bCs/>
          <w:noProof/>
          <w:lang w:val="sr-Cyrl-RS"/>
        </w:rPr>
        <w:t>ва</w:t>
      </w:r>
    </w:p>
    <w:p w:rsidR="00230939" w:rsidRDefault="00230939" w:rsidP="00596CBF">
      <w:pPr>
        <w:spacing w:after="0" w:line="240" w:lineRule="auto"/>
        <w:ind w:firstLine="709"/>
        <w:contextualSpacing/>
        <w:jc w:val="both"/>
        <w:rPr>
          <w:bCs/>
          <w:noProof/>
          <w:sz w:val="20"/>
          <w:szCs w:val="20"/>
          <w:lang w:val="sr-Cyrl-RS"/>
        </w:rPr>
      </w:pPr>
    </w:p>
    <w:p w:rsidR="003E30A5" w:rsidRDefault="003E30A5" w:rsidP="00596CBF">
      <w:pPr>
        <w:spacing w:after="0" w:line="240" w:lineRule="auto"/>
        <w:ind w:firstLine="709"/>
        <w:contextualSpacing/>
        <w:jc w:val="both"/>
        <w:rPr>
          <w:bCs/>
          <w:noProof/>
          <w:sz w:val="20"/>
          <w:szCs w:val="20"/>
          <w:lang w:val="sr-Cyrl-RS"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1843"/>
      </w:tblGrid>
      <w:tr w:rsidR="00230939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30939" w:rsidRPr="00230939" w:rsidRDefault="00230939" w:rsidP="00E51936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Име и презиме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30939" w:rsidRPr="00230939" w:rsidRDefault="00230939" w:rsidP="00E51936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Место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0939" w:rsidRPr="00230939" w:rsidRDefault="00230939" w:rsidP="00E51936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Број пријаве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Предраг Рајић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Хртковци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3581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Марко Шешум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2937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Бранислав Радојчић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3396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Вук Ђурица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2934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Мирослав Куљић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3397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Марко Андрић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Latn-RS" w:eastAsia="sr-Latn-RS"/>
              </w:rPr>
              <w:t>641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Марко Фијала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Нови Сланкамен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1351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</w:pPr>
            <w:proofErr w:type="spellStart"/>
            <w:r w:rsidRPr="00757DB2"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  <w:t>Петар</w:t>
            </w:r>
            <w:proofErr w:type="spellEnd"/>
            <w:r w:rsidRPr="00757DB2"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757DB2">
              <w:rPr>
                <w:rFonts w:asciiTheme="minorHAnsi" w:eastAsia="Times New Roman" w:hAnsiTheme="minorHAnsi"/>
                <w:sz w:val="20"/>
                <w:szCs w:val="20"/>
                <w:lang w:eastAsia="sr-Latn-RS"/>
              </w:rPr>
              <w:t>Кећански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Товаришево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1663</w:t>
            </w:r>
          </w:p>
        </w:tc>
      </w:tr>
      <w:tr w:rsidR="00757DB2" w:rsidRPr="00230939" w:rsidTr="0023093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Бојан Мијић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Марадик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57DB2" w:rsidRPr="00757DB2" w:rsidRDefault="00757DB2" w:rsidP="00757DB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757DB2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2764</w:t>
            </w:r>
          </w:p>
        </w:tc>
      </w:tr>
    </w:tbl>
    <w:p w:rsidR="00230939" w:rsidRPr="00230939" w:rsidRDefault="00230939" w:rsidP="00596CB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4"/>
          <w:szCs w:val="24"/>
          <w:highlight w:val="yellow"/>
          <w:lang w:val="sr-Cyrl-RS"/>
        </w:rPr>
      </w:pPr>
    </w:p>
    <w:p w:rsidR="00285E6A" w:rsidRPr="00230939" w:rsidRDefault="00596CBF" w:rsidP="00596CBF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bCs/>
          <w:sz w:val="24"/>
          <w:szCs w:val="24"/>
          <w:lang w:val="sr-Cyrl-RS"/>
        </w:rPr>
      </w:pPr>
      <w:r w:rsidRPr="00230939">
        <w:rPr>
          <w:sz w:val="24"/>
          <w:szCs w:val="24"/>
          <w:lang w:val="sr-Cyrl-CS"/>
        </w:rPr>
        <w:t xml:space="preserve">Комисија је дана </w:t>
      </w:r>
      <w:r w:rsidR="00757DB2">
        <w:rPr>
          <w:sz w:val="24"/>
          <w:szCs w:val="24"/>
          <w:lang w:val="sr-Cyrl-RS"/>
        </w:rPr>
        <w:t>23.12</w:t>
      </w:r>
      <w:r w:rsidR="00CF2FAD" w:rsidRPr="00230939">
        <w:rPr>
          <w:sz w:val="24"/>
          <w:szCs w:val="24"/>
          <w:lang w:val="sr-Cyrl-RS"/>
        </w:rPr>
        <w:t>.</w:t>
      </w:r>
      <w:r w:rsidRPr="00230939">
        <w:rPr>
          <w:sz w:val="24"/>
          <w:szCs w:val="24"/>
          <w:lang w:val="sr-Cyrl-CS"/>
        </w:rPr>
        <w:t>2021. године</w:t>
      </w:r>
      <w:r w:rsidR="00230939">
        <w:rPr>
          <w:sz w:val="24"/>
          <w:szCs w:val="24"/>
          <w:lang w:val="sr-Cyrl-CS"/>
        </w:rPr>
        <w:t xml:space="preserve"> одржала своју 4. седницу и </w:t>
      </w:r>
      <w:r w:rsidRPr="00230939">
        <w:rPr>
          <w:sz w:val="24"/>
          <w:szCs w:val="24"/>
          <w:lang w:val="sr-Cyrl-CS"/>
        </w:rPr>
        <w:t xml:space="preserve"> доставила Записник о раду са предлогом </w:t>
      </w:r>
      <w:r w:rsidR="005748DD" w:rsidRPr="00230939">
        <w:rPr>
          <w:sz w:val="24"/>
          <w:szCs w:val="24"/>
          <w:lang w:val="sr-Cyrl-CS"/>
        </w:rPr>
        <w:t xml:space="preserve">Одлуке </w:t>
      </w:r>
      <w:r w:rsidR="005748DD" w:rsidRPr="00230939">
        <w:rPr>
          <w:sz w:val="24"/>
          <w:szCs w:val="24"/>
          <w:lang w:val="sr-Cyrl-RS"/>
        </w:rPr>
        <w:t>измене</w:t>
      </w:r>
      <w:r w:rsidR="00CF2FAD" w:rsidRPr="00230939">
        <w:rPr>
          <w:sz w:val="24"/>
          <w:szCs w:val="24"/>
          <w:lang w:val="sr-Cyrl-RS"/>
        </w:rPr>
        <w:t xml:space="preserve"> </w:t>
      </w:r>
      <w:r w:rsidR="00844711" w:rsidRPr="00230939">
        <w:rPr>
          <w:sz w:val="24"/>
          <w:szCs w:val="24"/>
          <w:lang w:val="sr-Cyrl-RS"/>
        </w:rPr>
        <w:t xml:space="preserve"> Одлуке </w:t>
      </w:r>
      <w:r w:rsidR="00CF2FAD" w:rsidRPr="00230939">
        <w:rPr>
          <w:rFonts w:asciiTheme="minorHAnsi" w:hAnsiTheme="minorHAnsi"/>
          <w:sz w:val="24"/>
          <w:szCs w:val="24"/>
          <w:lang w:val="sr-Cyrl-CS"/>
        </w:rPr>
        <w:t xml:space="preserve">опредељивању средстава по </w:t>
      </w:r>
      <w:r w:rsidR="00CF2FAD" w:rsidRPr="00230939">
        <w:rPr>
          <w:rFonts w:asciiTheme="minorHAnsi" w:eastAsia="Times New Roman" w:hAnsiTheme="minorHAnsi"/>
          <w:sz w:val="24"/>
          <w:szCs w:val="24"/>
          <w:lang w:val="sr-Cyrl-CS"/>
        </w:rPr>
        <w:t>К</w:t>
      </w:r>
      <w:r w:rsidR="00CF2FAD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>онкурс</w:t>
      </w:r>
      <w:r w:rsidR="00CF2FAD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у</w:t>
      </w:r>
      <w:r w:rsidR="00CF2FAD" w:rsidRPr="00230939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="00CF2FAD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за доделу средстава за суфинансирање </w:t>
      </w:r>
      <w:r w:rsidR="00CF2FAD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инвестиција у</w:t>
      </w:r>
      <w:r w:rsidR="00CF2FAD" w:rsidRPr="00230939">
        <w:rPr>
          <w:rFonts w:asciiTheme="minorHAnsi" w:eastAsia="Times New Roman" w:hAnsiTheme="minorHAnsi"/>
          <w:bCs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CF2FAD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производних засада воћака, винове лозе и хмеља у 202</w:t>
      </w:r>
      <w:r w:rsidR="00CF2FAD" w:rsidRPr="00230939">
        <w:rPr>
          <w:rFonts w:asciiTheme="minorHAnsi" w:eastAsia="Times New Roman" w:hAnsiTheme="minorHAnsi"/>
          <w:bCs/>
          <w:sz w:val="24"/>
          <w:szCs w:val="24"/>
        </w:rPr>
        <w:t>1</w:t>
      </w:r>
      <w:r w:rsidR="00CF2FAD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. години</w:t>
      </w:r>
      <w:r w:rsidR="00285E6A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којим је костатовала одустанке</w:t>
      </w:r>
      <w:r w:rsidR="00757DB2"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и негативне извештаје</w:t>
      </w:r>
      <w:r w:rsidR="00757DB2" w:rsidRPr="00757DB2"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завршне контроле</w:t>
      </w:r>
      <w:r w:rsidR="00757DB2">
        <w:rPr>
          <w:rFonts w:asciiTheme="minorHAnsi" w:eastAsia="Times New Roman" w:hAnsiTheme="minorHAnsi"/>
          <w:bCs/>
          <w:sz w:val="24"/>
          <w:szCs w:val="24"/>
          <w:lang w:val="sr-Cyrl-RS"/>
        </w:rPr>
        <w:t>,</w:t>
      </w:r>
      <w:r w:rsidR="00757DB2" w:rsidRPr="00757DB2"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</w:t>
      </w:r>
      <w:r w:rsidR="00285E6A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>након потписивања уг</w:t>
      </w:r>
      <w:r w:rsidR="00757DB2">
        <w:rPr>
          <w:rFonts w:asciiTheme="minorHAnsi" w:eastAsia="Times New Roman" w:hAnsiTheme="minorHAnsi"/>
          <w:bCs/>
          <w:sz w:val="24"/>
          <w:szCs w:val="24"/>
          <w:lang w:val="sr-Cyrl-RS"/>
        </w:rPr>
        <w:t>о</w:t>
      </w:r>
      <w:r w:rsidR="00285E6A" w:rsidRPr="00230939"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вора следећих корисника средства: </w:t>
      </w:r>
    </w:p>
    <w:p w:rsidR="00285E6A" w:rsidRPr="00230939" w:rsidRDefault="00285E6A" w:rsidP="00596CBF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bCs/>
          <w:sz w:val="24"/>
          <w:szCs w:val="24"/>
          <w:lang w:val="sr-Cyrl-RS"/>
        </w:rPr>
      </w:pPr>
    </w:p>
    <w:tbl>
      <w:tblPr>
        <w:tblStyle w:val="TableGrid"/>
        <w:tblW w:w="11888" w:type="dxa"/>
        <w:tblLook w:val="04A0" w:firstRow="1" w:lastRow="0" w:firstColumn="1" w:lastColumn="0" w:noHBand="0" w:noVBand="1"/>
      </w:tblPr>
      <w:tblGrid>
        <w:gridCol w:w="2160"/>
        <w:gridCol w:w="1640"/>
        <w:gridCol w:w="1380"/>
        <w:gridCol w:w="1386"/>
        <w:gridCol w:w="1260"/>
        <w:gridCol w:w="1386"/>
        <w:gridCol w:w="1520"/>
        <w:gridCol w:w="1156"/>
      </w:tblGrid>
      <w:tr w:rsidR="00EA08A5" w:rsidRPr="00230939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Име и презиме</w:t>
            </w:r>
          </w:p>
        </w:tc>
        <w:tc>
          <w:tcPr>
            <w:tcW w:w="164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Место</w:t>
            </w:r>
          </w:p>
        </w:tc>
        <w:tc>
          <w:tcPr>
            <w:tcW w:w="138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Број пријаве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Прих. инвестиција</w:t>
            </w:r>
          </w:p>
        </w:tc>
        <w:tc>
          <w:tcPr>
            <w:tcW w:w="12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Одобрено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% сопствена средства</w:t>
            </w:r>
          </w:p>
        </w:tc>
      </w:tr>
      <w:tr w:rsidR="00EA08A5" w:rsidRPr="00230939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Предраг Рајић</w:t>
            </w:r>
          </w:p>
        </w:tc>
        <w:tc>
          <w:tcPr>
            <w:tcW w:w="164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Хртковци</w:t>
            </w:r>
          </w:p>
        </w:tc>
        <w:tc>
          <w:tcPr>
            <w:tcW w:w="138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3581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1.027.570,00</w:t>
            </w:r>
          </w:p>
        </w:tc>
        <w:tc>
          <w:tcPr>
            <w:tcW w:w="12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567.343,00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460.227,00</w:t>
            </w:r>
          </w:p>
        </w:tc>
        <w:tc>
          <w:tcPr>
            <w:tcW w:w="152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55,21</w:t>
            </w:r>
          </w:p>
        </w:tc>
        <w:tc>
          <w:tcPr>
            <w:tcW w:w="115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44,79</w:t>
            </w:r>
          </w:p>
        </w:tc>
      </w:tr>
      <w:tr w:rsidR="00EA08A5" w:rsidRPr="00230939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Марко Шешум</w:t>
            </w:r>
          </w:p>
        </w:tc>
        <w:tc>
          <w:tcPr>
            <w:tcW w:w="164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Бачка Паланка</w:t>
            </w:r>
          </w:p>
        </w:tc>
        <w:tc>
          <w:tcPr>
            <w:tcW w:w="138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2937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650.320,00</w:t>
            </w:r>
          </w:p>
        </w:tc>
        <w:tc>
          <w:tcPr>
            <w:tcW w:w="12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340.299,00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310.021,00</w:t>
            </w:r>
          </w:p>
        </w:tc>
        <w:tc>
          <w:tcPr>
            <w:tcW w:w="152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52,33</w:t>
            </w:r>
          </w:p>
        </w:tc>
        <w:tc>
          <w:tcPr>
            <w:tcW w:w="115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47,67</w:t>
            </w:r>
          </w:p>
        </w:tc>
      </w:tr>
      <w:tr w:rsidR="00EA08A5" w:rsidRPr="00230939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Бранислав Радојчић</w:t>
            </w:r>
          </w:p>
        </w:tc>
        <w:tc>
          <w:tcPr>
            <w:tcW w:w="164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Ратково</w:t>
            </w:r>
          </w:p>
        </w:tc>
        <w:tc>
          <w:tcPr>
            <w:tcW w:w="138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3396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936.600,00</w:t>
            </w:r>
          </w:p>
        </w:tc>
        <w:tc>
          <w:tcPr>
            <w:tcW w:w="12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248.454,00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688.146,00</w:t>
            </w:r>
          </w:p>
        </w:tc>
        <w:tc>
          <w:tcPr>
            <w:tcW w:w="152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26,53</w:t>
            </w:r>
          </w:p>
        </w:tc>
        <w:tc>
          <w:tcPr>
            <w:tcW w:w="115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73,47</w:t>
            </w:r>
          </w:p>
        </w:tc>
      </w:tr>
      <w:tr w:rsidR="00EA08A5" w:rsidRPr="00230939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Вук Ђурица</w:t>
            </w:r>
          </w:p>
        </w:tc>
        <w:tc>
          <w:tcPr>
            <w:tcW w:w="164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Бачка Паланка</w:t>
            </w:r>
          </w:p>
        </w:tc>
        <w:tc>
          <w:tcPr>
            <w:tcW w:w="138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2934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615.620,00</w:t>
            </w:r>
          </w:p>
        </w:tc>
        <w:tc>
          <w:tcPr>
            <w:tcW w:w="12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160.667,00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454.953,00</w:t>
            </w:r>
          </w:p>
        </w:tc>
        <w:tc>
          <w:tcPr>
            <w:tcW w:w="152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26,1</w:t>
            </w:r>
          </w:p>
        </w:tc>
        <w:tc>
          <w:tcPr>
            <w:tcW w:w="115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73,9</w:t>
            </w:r>
          </w:p>
        </w:tc>
      </w:tr>
      <w:tr w:rsidR="00EA08A5" w:rsidRPr="00230939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Мирослав Куљић</w:t>
            </w:r>
          </w:p>
        </w:tc>
        <w:tc>
          <w:tcPr>
            <w:tcW w:w="164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Бачка Паланка</w:t>
            </w:r>
          </w:p>
        </w:tc>
        <w:tc>
          <w:tcPr>
            <w:tcW w:w="138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3397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2.945.000,00</w:t>
            </w:r>
          </w:p>
        </w:tc>
        <w:tc>
          <w:tcPr>
            <w:tcW w:w="12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204.704,00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2.740.296,00</w:t>
            </w:r>
          </w:p>
        </w:tc>
        <w:tc>
          <w:tcPr>
            <w:tcW w:w="152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6,95</w:t>
            </w:r>
          </w:p>
        </w:tc>
        <w:tc>
          <w:tcPr>
            <w:tcW w:w="115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93,05</w:t>
            </w:r>
          </w:p>
        </w:tc>
      </w:tr>
      <w:tr w:rsidR="00EA08A5" w:rsidRPr="00230939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Марко Андрић</w:t>
            </w:r>
          </w:p>
        </w:tc>
        <w:tc>
          <w:tcPr>
            <w:tcW w:w="164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Врбас</w:t>
            </w:r>
          </w:p>
        </w:tc>
        <w:tc>
          <w:tcPr>
            <w:tcW w:w="138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641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575.310,00</w:t>
            </w:r>
          </w:p>
        </w:tc>
        <w:tc>
          <w:tcPr>
            <w:tcW w:w="126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370.580,00</w:t>
            </w:r>
          </w:p>
        </w:tc>
        <w:tc>
          <w:tcPr>
            <w:tcW w:w="138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204.730,00</w:t>
            </w:r>
          </w:p>
        </w:tc>
        <w:tc>
          <w:tcPr>
            <w:tcW w:w="1520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64,41</w:t>
            </w:r>
          </w:p>
        </w:tc>
        <w:tc>
          <w:tcPr>
            <w:tcW w:w="1156" w:type="dxa"/>
            <w:noWrap/>
            <w:hideMark/>
          </w:tcPr>
          <w:p w:rsidR="00EA08A5" w:rsidRPr="00230939" w:rsidRDefault="00EA08A5" w:rsidP="00285E6A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230939">
              <w:rPr>
                <w:rFonts w:eastAsia="Times New Roman"/>
                <w:lang w:val="sr-Latn-RS" w:eastAsia="sr-Latn-RS"/>
              </w:rPr>
              <w:t>35,59</w:t>
            </w:r>
          </w:p>
        </w:tc>
      </w:tr>
      <w:tr w:rsidR="00EA08A5" w:rsidRPr="00EA08A5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A08A5">
              <w:rPr>
                <w:rFonts w:eastAsia="Times New Roman"/>
                <w:color w:val="000000"/>
              </w:rPr>
              <w:t>Марко</w:t>
            </w:r>
            <w:proofErr w:type="spellEnd"/>
            <w:r w:rsidRPr="00EA08A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A08A5">
              <w:rPr>
                <w:rFonts w:eastAsia="Times New Roman"/>
                <w:color w:val="000000"/>
              </w:rPr>
              <w:t>Фијала</w:t>
            </w:r>
            <w:proofErr w:type="spellEnd"/>
          </w:p>
        </w:tc>
        <w:tc>
          <w:tcPr>
            <w:tcW w:w="164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A08A5">
              <w:rPr>
                <w:rFonts w:eastAsia="Times New Roman"/>
                <w:color w:val="000000"/>
              </w:rPr>
              <w:t>Нови</w:t>
            </w:r>
            <w:proofErr w:type="spellEnd"/>
            <w:r w:rsidRPr="00EA08A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A08A5">
              <w:rPr>
                <w:rFonts w:eastAsia="Times New Roman"/>
                <w:color w:val="000000"/>
              </w:rPr>
              <w:t>Сланкамен</w:t>
            </w:r>
            <w:proofErr w:type="spellEnd"/>
          </w:p>
        </w:tc>
        <w:tc>
          <w:tcPr>
            <w:tcW w:w="138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1351</w:t>
            </w:r>
          </w:p>
        </w:tc>
        <w:tc>
          <w:tcPr>
            <w:tcW w:w="1386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945124</w:t>
            </w:r>
          </w:p>
        </w:tc>
        <w:tc>
          <w:tcPr>
            <w:tcW w:w="126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571.891,00</w:t>
            </w:r>
          </w:p>
        </w:tc>
        <w:tc>
          <w:tcPr>
            <w:tcW w:w="1386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373233</w:t>
            </w:r>
          </w:p>
        </w:tc>
        <w:tc>
          <w:tcPr>
            <w:tcW w:w="152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60,51</w:t>
            </w:r>
          </w:p>
        </w:tc>
        <w:tc>
          <w:tcPr>
            <w:tcW w:w="1156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39,49</w:t>
            </w:r>
          </w:p>
        </w:tc>
      </w:tr>
      <w:tr w:rsidR="00EA08A5" w:rsidRPr="00EA08A5" w:rsidTr="00EA08A5">
        <w:trPr>
          <w:trHeight w:val="300"/>
        </w:trPr>
        <w:tc>
          <w:tcPr>
            <w:tcW w:w="216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A08A5">
              <w:rPr>
                <w:rFonts w:eastAsia="Times New Roman"/>
                <w:color w:val="000000"/>
              </w:rPr>
              <w:t>Петар</w:t>
            </w:r>
            <w:proofErr w:type="spellEnd"/>
            <w:r w:rsidRPr="00EA08A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A08A5">
              <w:rPr>
                <w:rFonts w:eastAsia="Times New Roman"/>
                <w:color w:val="000000"/>
              </w:rPr>
              <w:t>Кећански</w:t>
            </w:r>
            <w:proofErr w:type="spellEnd"/>
          </w:p>
        </w:tc>
        <w:tc>
          <w:tcPr>
            <w:tcW w:w="164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A08A5">
              <w:rPr>
                <w:rFonts w:eastAsia="Times New Roman"/>
                <w:color w:val="000000"/>
              </w:rPr>
              <w:t>Товаришево</w:t>
            </w:r>
            <w:proofErr w:type="spellEnd"/>
          </w:p>
        </w:tc>
        <w:tc>
          <w:tcPr>
            <w:tcW w:w="138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1663</w:t>
            </w:r>
          </w:p>
        </w:tc>
        <w:tc>
          <w:tcPr>
            <w:tcW w:w="1386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1432000</w:t>
            </w:r>
          </w:p>
        </w:tc>
        <w:tc>
          <w:tcPr>
            <w:tcW w:w="126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778.146,00</w:t>
            </w:r>
          </w:p>
        </w:tc>
        <w:tc>
          <w:tcPr>
            <w:tcW w:w="1386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653854</w:t>
            </w:r>
          </w:p>
        </w:tc>
        <w:tc>
          <w:tcPr>
            <w:tcW w:w="1520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54,34</w:t>
            </w:r>
          </w:p>
        </w:tc>
        <w:tc>
          <w:tcPr>
            <w:tcW w:w="1156" w:type="dxa"/>
            <w:noWrap/>
            <w:hideMark/>
          </w:tcPr>
          <w:p w:rsidR="00EA08A5" w:rsidRPr="00EA08A5" w:rsidRDefault="00EA08A5" w:rsidP="00EA08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45,66</w:t>
            </w:r>
          </w:p>
        </w:tc>
      </w:tr>
      <w:tr w:rsidR="00EA08A5" w:rsidRPr="00EA08A5" w:rsidTr="00FB4142">
        <w:trPr>
          <w:trHeight w:val="300"/>
        </w:trPr>
        <w:tc>
          <w:tcPr>
            <w:tcW w:w="2160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A08A5">
              <w:rPr>
                <w:rFonts w:eastAsia="Times New Roman"/>
                <w:color w:val="000000"/>
              </w:rPr>
              <w:t>Бојан</w:t>
            </w:r>
            <w:proofErr w:type="spellEnd"/>
            <w:r w:rsidRPr="00EA08A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A08A5">
              <w:rPr>
                <w:rFonts w:eastAsia="Times New Roman"/>
                <w:color w:val="000000"/>
              </w:rPr>
              <w:t>Мијић</w:t>
            </w:r>
            <w:proofErr w:type="spellEnd"/>
          </w:p>
        </w:tc>
        <w:tc>
          <w:tcPr>
            <w:tcW w:w="1640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A08A5">
              <w:rPr>
                <w:rFonts w:eastAsia="Times New Roman"/>
                <w:color w:val="000000"/>
              </w:rPr>
              <w:t>Марадик</w:t>
            </w:r>
            <w:proofErr w:type="spellEnd"/>
          </w:p>
        </w:tc>
        <w:tc>
          <w:tcPr>
            <w:tcW w:w="1380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2764</w:t>
            </w:r>
          </w:p>
        </w:tc>
        <w:tc>
          <w:tcPr>
            <w:tcW w:w="1386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687614,33</w:t>
            </w:r>
          </w:p>
        </w:tc>
        <w:tc>
          <w:tcPr>
            <w:tcW w:w="1260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442.920,00</w:t>
            </w:r>
          </w:p>
        </w:tc>
        <w:tc>
          <w:tcPr>
            <w:tcW w:w="1386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244694,33</w:t>
            </w:r>
          </w:p>
        </w:tc>
        <w:tc>
          <w:tcPr>
            <w:tcW w:w="1520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64,41</w:t>
            </w:r>
          </w:p>
        </w:tc>
        <w:tc>
          <w:tcPr>
            <w:tcW w:w="1156" w:type="dxa"/>
            <w:noWrap/>
            <w:hideMark/>
          </w:tcPr>
          <w:p w:rsidR="00EA08A5" w:rsidRPr="00EA08A5" w:rsidRDefault="00EA08A5" w:rsidP="00FB414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A08A5">
              <w:rPr>
                <w:rFonts w:eastAsia="Times New Roman"/>
                <w:color w:val="000000"/>
              </w:rPr>
              <w:t>35,59</w:t>
            </w:r>
          </w:p>
        </w:tc>
      </w:tr>
    </w:tbl>
    <w:p w:rsidR="00285E6A" w:rsidRPr="00230939" w:rsidRDefault="00285E6A" w:rsidP="00285E6A">
      <w:pPr>
        <w:pStyle w:val="NoSpacing"/>
        <w:jc w:val="both"/>
        <w:rPr>
          <w:noProof/>
          <w:sz w:val="24"/>
          <w:szCs w:val="24"/>
          <w:lang w:val="sr-Cyrl-RS"/>
        </w:rPr>
      </w:pPr>
    </w:p>
    <w:p w:rsidR="00285E6A" w:rsidRPr="00230939" w:rsidRDefault="0006516E" w:rsidP="006A4B46">
      <w:pPr>
        <w:spacing w:after="0" w:line="240" w:lineRule="auto"/>
        <w:ind w:firstLine="708"/>
        <w:jc w:val="both"/>
        <w:rPr>
          <w:rFonts w:eastAsia="Times New Roman"/>
          <w:lang w:val="sr-Cyrl-RS" w:eastAsia="sr-Latn-RS"/>
        </w:rPr>
      </w:pPr>
      <w:r>
        <w:rPr>
          <w:rFonts w:eastAsia="Times New Roman"/>
          <w:lang w:val="sr-Cyrl-RS" w:eastAsia="sr-Latn-RS"/>
        </w:rPr>
        <w:lastRenderedPageBreak/>
        <w:t>И</w:t>
      </w:r>
      <w:r w:rsidR="00285E6A" w:rsidRPr="00230939">
        <w:rPr>
          <w:rFonts w:eastAsia="Times New Roman"/>
          <w:lang w:val="sr-Cyrl-RS" w:eastAsia="sr-Latn-RS"/>
        </w:rPr>
        <w:t xml:space="preserve">звршено је </w:t>
      </w:r>
      <w:r w:rsidR="006A4B46" w:rsidRPr="00230939">
        <w:rPr>
          <w:rFonts w:eastAsia="Times New Roman"/>
          <w:lang w:val="sr-Cyrl-RS" w:eastAsia="sr-Latn-RS"/>
        </w:rPr>
        <w:t xml:space="preserve"> понављање поступка по жалби Н</w:t>
      </w:r>
      <w:r w:rsidR="00285E6A" w:rsidRPr="00230939">
        <w:rPr>
          <w:rFonts w:eastAsia="Times New Roman"/>
          <w:lang w:val="sr-Cyrl-RS" w:eastAsia="sr-Latn-RS"/>
        </w:rPr>
        <w:t>ико</w:t>
      </w:r>
      <w:r w:rsidR="006A4B46" w:rsidRPr="00230939">
        <w:rPr>
          <w:rFonts w:eastAsia="Times New Roman"/>
          <w:lang w:val="sr-Cyrl-RS" w:eastAsia="sr-Latn-RS"/>
        </w:rPr>
        <w:t xml:space="preserve">ле Марић и констатовано да је </w:t>
      </w:r>
      <w:r w:rsidR="006A4B46" w:rsidRPr="00230939">
        <w:rPr>
          <w:noProof/>
          <w:sz w:val="24"/>
          <w:szCs w:val="24"/>
          <w:lang w:val="sr-Cyrl-RS"/>
        </w:rPr>
        <w:t>Одлуком</w:t>
      </w:r>
      <w:r w:rsidR="005748DD" w:rsidRPr="00230939">
        <w:rPr>
          <w:noProof/>
          <w:sz w:val="24"/>
          <w:szCs w:val="24"/>
          <w:lang w:val="sr-Cyrl-RS"/>
        </w:rPr>
        <w:t xml:space="preserve"> о додели средстава по </w:t>
      </w:r>
      <w:r w:rsidR="005748DD" w:rsidRPr="00230939">
        <w:rPr>
          <w:bCs/>
          <w:noProof/>
          <w:sz w:val="24"/>
          <w:szCs w:val="24"/>
          <w:lang w:val="sr-Cyrl-RS"/>
        </w:rPr>
        <w:t>К</w:t>
      </w:r>
      <w:r w:rsidR="005748DD" w:rsidRPr="00230939">
        <w:rPr>
          <w:bCs/>
          <w:noProof/>
          <w:sz w:val="24"/>
          <w:szCs w:val="24"/>
          <w:lang w:val="sr-Latn-RS"/>
        </w:rPr>
        <w:t>онкурс</w:t>
      </w:r>
      <w:r w:rsidR="005748DD" w:rsidRPr="00230939">
        <w:rPr>
          <w:noProof/>
          <w:sz w:val="24"/>
          <w:szCs w:val="24"/>
          <w:lang w:val="sr-Cyrl-RS"/>
        </w:rPr>
        <w:t xml:space="preserve">у </w:t>
      </w:r>
      <w:r w:rsidR="005748DD" w:rsidRPr="00230939">
        <w:rPr>
          <w:bCs/>
          <w:noProof/>
          <w:sz w:val="24"/>
          <w:szCs w:val="24"/>
          <w:lang w:val="sr-Latn-RS"/>
        </w:rPr>
        <w:t xml:space="preserve">за доделу средстава за суфинансирање </w:t>
      </w:r>
      <w:r w:rsidR="005748DD" w:rsidRPr="00230939">
        <w:rPr>
          <w:bCs/>
          <w:noProof/>
          <w:sz w:val="24"/>
          <w:szCs w:val="24"/>
          <w:lang w:val="sr-Cyrl-RS"/>
        </w:rPr>
        <w:t>инвестиција у</w:t>
      </w:r>
      <w:r w:rsidR="005748DD" w:rsidRPr="00230939">
        <w:rPr>
          <w:bCs/>
          <w:noProof/>
          <w:sz w:val="24"/>
          <w:szCs w:val="24"/>
          <w:lang w:val="sr-Latn-RS"/>
        </w:rPr>
        <w:t xml:space="preserve"> набавку опреме за заштиту од временских непогода и елемената потребних за подизање </w:t>
      </w:r>
      <w:r w:rsidR="005748DD" w:rsidRPr="00230939">
        <w:rPr>
          <w:bCs/>
          <w:noProof/>
          <w:sz w:val="24"/>
          <w:szCs w:val="24"/>
          <w:lang w:val="sr-Cyrl-RS"/>
        </w:rPr>
        <w:t>производних засада воћака, винове лозе и хмеља у 202</w:t>
      </w:r>
      <w:r w:rsidR="005748DD" w:rsidRPr="00230939">
        <w:rPr>
          <w:bCs/>
          <w:noProof/>
          <w:sz w:val="24"/>
          <w:szCs w:val="24"/>
        </w:rPr>
        <w:t>1</w:t>
      </w:r>
      <w:r w:rsidR="005748DD" w:rsidRPr="00230939">
        <w:rPr>
          <w:bCs/>
          <w:noProof/>
          <w:sz w:val="24"/>
          <w:szCs w:val="24"/>
          <w:lang w:val="sr-Cyrl-RS"/>
        </w:rPr>
        <w:t>. години</w:t>
      </w:r>
      <w:r w:rsidR="00230939">
        <w:rPr>
          <w:bCs/>
          <w:noProof/>
          <w:sz w:val="24"/>
          <w:szCs w:val="24"/>
          <w:lang w:val="sr-Cyrl-RS"/>
        </w:rPr>
        <w:t xml:space="preserve"> </w:t>
      </w:r>
      <w:r w:rsidR="006A4B46" w:rsidRPr="00230939">
        <w:rPr>
          <w:bCs/>
          <w:noProof/>
          <w:sz w:val="24"/>
          <w:szCs w:val="24"/>
          <w:lang w:val="sr-Cyrl-RS"/>
        </w:rPr>
        <w:t xml:space="preserve">између осталог Николи </w:t>
      </w:r>
      <w:r w:rsidR="006A4B46" w:rsidRPr="00230939">
        <w:rPr>
          <w:noProof/>
          <w:sz w:val="24"/>
          <w:szCs w:val="24"/>
          <w:lang w:val="sr-Cyrl-RS"/>
        </w:rPr>
        <w:t xml:space="preserve">Марићу </w:t>
      </w:r>
      <w:r w:rsidR="005748DD" w:rsidRPr="00230939">
        <w:rPr>
          <w:noProof/>
          <w:sz w:val="24"/>
          <w:szCs w:val="24"/>
          <w:lang w:val="sr-Cyrl-RS"/>
        </w:rPr>
        <w:t xml:space="preserve">додељено 1.013.941,00 </w:t>
      </w:r>
      <w:r w:rsidR="006A4B46" w:rsidRPr="00230939">
        <w:rPr>
          <w:noProof/>
          <w:sz w:val="24"/>
          <w:szCs w:val="24"/>
          <w:lang w:val="sr-Cyrl-RS"/>
        </w:rPr>
        <w:t>динара, да је  п</w:t>
      </w:r>
      <w:r w:rsidR="005748DD" w:rsidRPr="00230939">
        <w:rPr>
          <w:noProof/>
          <w:sz w:val="24"/>
          <w:szCs w:val="24"/>
          <w:lang w:val="sr-Cyrl-RS"/>
        </w:rPr>
        <w:t>ротив одлуке, благовремено, дана 10</w:t>
      </w:r>
      <w:r w:rsidR="005748DD" w:rsidRPr="00230939">
        <w:rPr>
          <w:noProof/>
          <w:sz w:val="24"/>
          <w:szCs w:val="24"/>
          <w:lang w:val="sr-Latn-RS"/>
        </w:rPr>
        <w:t xml:space="preserve">.05.2021. </w:t>
      </w:r>
      <w:r w:rsidR="005748DD" w:rsidRPr="00230939">
        <w:rPr>
          <w:noProof/>
          <w:sz w:val="24"/>
          <w:szCs w:val="24"/>
          <w:lang w:val="sr-Cyrl-RS"/>
        </w:rPr>
        <w:t>године Никола Марић је уложио</w:t>
      </w:r>
      <w:r w:rsidR="006A4B46" w:rsidRPr="00230939">
        <w:rPr>
          <w:noProof/>
          <w:sz w:val="24"/>
          <w:szCs w:val="24"/>
          <w:lang w:val="sr-Cyrl-RS"/>
        </w:rPr>
        <w:t xml:space="preserve"> жалбу, да је</w:t>
      </w:r>
      <w:r w:rsidR="005748DD" w:rsidRPr="00230939">
        <w:rPr>
          <w:noProof/>
          <w:sz w:val="24"/>
          <w:szCs w:val="24"/>
          <w:lang w:val="sr-Cyrl-RS"/>
        </w:rPr>
        <w:t xml:space="preserve"> Покрајински секретар за пољопривреду, водопривреду и шумарство је одбио жалбу решењем од 10.06.2021. године из разлога што </w:t>
      </w:r>
      <w:r w:rsidR="005748DD" w:rsidRPr="00230939">
        <w:rPr>
          <w:noProof/>
          <w:sz w:val="24"/>
          <w:szCs w:val="24"/>
          <w:lang w:val="ru-RU"/>
        </w:rPr>
        <w:t>није било довољно средстава да сви подносиоца пријава у потпуности добију тражена средства, те је било нужно кориговати износе како би што већи број лица остварио право на подстицаје</w:t>
      </w:r>
      <w:r w:rsidR="00285E6A" w:rsidRPr="00230939">
        <w:rPr>
          <w:noProof/>
          <w:sz w:val="24"/>
          <w:szCs w:val="24"/>
          <w:lang w:val="sr-Cyrl-RS"/>
        </w:rPr>
        <w:t xml:space="preserve">  </w:t>
      </w:r>
      <w:r w:rsidR="006A4B46" w:rsidRPr="00230939">
        <w:rPr>
          <w:noProof/>
          <w:sz w:val="24"/>
          <w:szCs w:val="24"/>
          <w:lang w:val="ru-RU"/>
        </w:rPr>
        <w:t>Како су</w:t>
      </w:r>
      <w:r w:rsidR="005748DD" w:rsidRPr="00230939">
        <w:rPr>
          <w:noProof/>
          <w:sz w:val="24"/>
          <w:szCs w:val="24"/>
          <w:lang w:val="ru-RU"/>
        </w:rPr>
        <w:t xml:space="preserve"> доношења</w:t>
      </w:r>
      <w:r w:rsidR="006A4B46" w:rsidRPr="00230939">
        <w:rPr>
          <w:noProof/>
          <w:sz w:val="24"/>
          <w:szCs w:val="24"/>
          <w:lang w:val="ru-RU"/>
        </w:rPr>
        <w:t xml:space="preserve"> </w:t>
      </w:r>
      <w:r w:rsidR="005748DD" w:rsidRPr="00230939">
        <w:rPr>
          <w:noProof/>
          <w:sz w:val="24"/>
          <w:szCs w:val="24"/>
          <w:lang w:val="ru-RU"/>
        </w:rPr>
        <w:t xml:space="preserve"> решења поједини Корисници средстава су одустали од уговора чиме су преостала средства по Конкурсу</w:t>
      </w:r>
      <w:r w:rsidR="006A4B46" w:rsidRPr="00230939">
        <w:rPr>
          <w:noProof/>
          <w:sz w:val="24"/>
          <w:szCs w:val="24"/>
          <w:lang w:val="ru-RU"/>
        </w:rPr>
        <w:t xml:space="preserve"> у висини од </w:t>
      </w:r>
      <w:r w:rsidR="006A4B46" w:rsidRPr="00230939">
        <w:rPr>
          <w:rFonts w:eastAsia="Times New Roman"/>
          <w:lang w:val="sr-Latn-RS" w:eastAsia="sr-Latn-RS"/>
        </w:rPr>
        <w:t>1.892.047,00</w:t>
      </w:r>
      <w:r w:rsidR="006A4B46" w:rsidRPr="00230939">
        <w:rPr>
          <w:rFonts w:eastAsia="Times New Roman"/>
          <w:lang w:val="sr-Cyrl-RS" w:eastAsia="sr-Latn-RS"/>
        </w:rPr>
        <w:t xml:space="preserve"> </w:t>
      </w:r>
      <w:r w:rsidR="005748DD" w:rsidRPr="00230939">
        <w:rPr>
          <w:noProof/>
          <w:sz w:val="24"/>
          <w:szCs w:val="24"/>
          <w:lang w:val="ru-RU"/>
        </w:rPr>
        <w:t xml:space="preserve"> </w:t>
      </w:r>
      <w:r w:rsidR="006A4B46" w:rsidRPr="00230939">
        <w:rPr>
          <w:noProof/>
          <w:sz w:val="24"/>
          <w:szCs w:val="24"/>
          <w:lang w:val="ru-RU"/>
        </w:rPr>
        <w:t>разлог за одбијања жалбе  престао је да</w:t>
      </w:r>
      <w:r w:rsidR="005748DD" w:rsidRPr="00230939">
        <w:rPr>
          <w:noProof/>
          <w:sz w:val="24"/>
          <w:szCs w:val="24"/>
          <w:lang w:val="ru-RU"/>
        </w:rPr>
        <w:t xml:space="preserve"> постоји.</w:t>
      </w:r>
      <w:r w:rsidR="00285E6A" w:rsidRPr="00230939">
        <w:rPr>
          <w:noProof/>
          <w:sz w:val="24"/>
          <w:szCs w:val="24"/>
          <w:lang w:val="sr-Cyrl-RS"/>
        </w:rPr>
        <w:t xml:space="preserve"> Ч</w:t>
      </w:r>
      <w:r w:rsidR="006A4B46" w:rsidRPr="00230939">
        <w:rPr>
          <w:noProof/>
          <w:sz w:val="24"/>
          <w:szCs w:val="24"/>
          <w:lang w:val="sr-Cyrl-RS"/>
        </w:rPr>
        <w:t>ла</w:t>
      </w:r>
      <w:r w:rsidR="005748DD" w:rsidRPr="00230939">
        <w:rPr>
          <w:noProof/>
          <w:sz w:val="24"/>
          <w:szCs w:val="24"/>
          <w:lang w:val="sr-Cyrl-RS"/>
        </w:rPr>
        <w:t>ном 176. став 1. тачка 1</w:t>
      </w:r>
      <w:r w:rsidR="005748DD" w:rsidRPr="00230939">
        <w:rPr>
          <w:noProof/>
          <w:sz w:val="24"/>
          <w:szCs w:val="24"/>
          <w:lang w:val="ru-RU"/>
        </w:rPr>
        <w:t xml:space="preserve"> </w:t>
      </w:r>
      <w:r w:rsidR="005748DD" w:rsidRPr="00230939">
        <w:rPr>
          <w:bCs/>
          <w:noProof/>
          <w:sz w:val="24"/>
          <w:szCs w:val="24"/>
        </w:rPr>
        <w:t>Закон</w:t>
      </w:r>
      <w:r w:rsidR="005748DD" w:rsidRPr="00230939">
        <w:rPr>
          <w:bCs/>
          <w:noProof/>
          <w:sz w:val="24"/>
          <w:szCs w:val="24"/>
          <w:lang w:val="sr-Cyrl-RS"/>
        </w:rPr>
        <w:t>а</w:t>
      </w:r>
      <w:r w:rsidR="005748DD" w:rsidRPr="00230939">
        <w:rPr>
          <w:bCs/>
          <w:noProof/>
          <w:sz w:val="24"/>
          <w:szCs w:val="24"/>
        </w:rPr>
        <w:t xml:space="preserve"> о општем управном поступку</w:t>
      </w:r>
      <w:r w:rsidR="005748DD" w:rsidRPr="00230939">
        <w:rPr>
          <w:bCs/>
          <w:noProof/>
          <w:sz w:val="24"/>
          <w:szCs w:val="24"/>
          <w:lang w:val="sr-Cyrl-RS"/>
        </w:rPr>
        <w:t xml:space="preserve"> </w:t>
      </w:r>
      <w:r w:rsidR="005748DD" w:rsidRPr="00230939">
        <w:rPr>
          <w:iCs/>
          <w:noProof/>
          <w:sz w:val="24"/>
          <w:szCs w:val="24"/>
        </w:rPr>
        <w:t>(</w:t>
      </w:r>
      <w:r w:rsidR="005748DD" w:rsidRPr="00230939">
        <w:rPr>
          <w:iCs/>
          <w:noProof/>
          <w:sz w:val="24"/>
          <w:szCs w:val="24"/>
          <w:lang w:val="sr-Cyrl-RS"/>
        </w:rPr>
        <w:t>„</w:t>
      </w:r>
      <w:r w:rsidR="005748DD" w:rsidRPr="00230939">
        <w:rPr>
          <w:iCs/>
          <w:noProof/>
          <w:sz w:val="24"/>
          <w:szCs w:val="24"/>
        </w:rPr>
        <w:t>Сл. гласник РС</w:t>
      </w:r>
      <w:r w:rsidR="005748DD" w:rsidRPr="00230939">
        <w:rPr>
          <w:iCs/>
          <w:noProof/>
          <w:sz w:val="24"/>
          <w:szCs w:val="24"/>
          <w:lang w:val="sr-Cyrl-RS"/>
        </w:rPr>
        <w:t>“</w:t>
      </w:r>
      <w:r w:rsidR="005748DD" w:rsidRPr="00230939">
        <w:rPr>
          <w:iCs/>
          <w:noProof/>
          <w:sz w:val="24"/>
          <w:szCs w:val="24"/>
        </w:rPr>
        <w:t>, бр. 18/2016)</w:t>
      </w:r>
      <w:r w:rsidR="005748DD" w:rsidRPr="00230939">
        <w:rPr>
          <w:iCs/>
          <w:noProof/>
          <w:sz w:val="24"/>
          <w:szCs w:val="24"/>
          <w:lang w:val="sr-Cyrl-RS"/>
        </w:rPr>
        <w:t xml:space="preserve"> је прописано да орган може по службеној дужности да понови поступак </w:t>
      </w:r>
      <w:r w:rsidR="005748DD" w:rsidRPr="00230939">
        <w:rPr>
          <w:iCs/>
          <w:noProof/>
          <w:sz w:val="24"/>
          <w:szCs w:val="24"/>
        </w:rPr>
        <w:t xml:space="preserve"> ако се сазна за нове чињенице или стекне могућност да се изведу нови докази који би, сами или у вези са раније изнетим чињеницама или изведеним доказима, могл</w:t>
      </w:r>
      <w:r w:rsidR="00285E6A" w:rsidRPr="00230939">
        <w:rPr>
          <w:iCs/>
          <w:noProof/>
          <w:sz w:val="24"/>
          <w:szCs w:val="24"/>
        </w:rPr>
        <w:t>и да доведу до друкчијег решења</w:t>
      </w:r>
      <w:r w:rsidR="006A4B46" w:rsidRPr="00230939">
        <w:rPr>
          <w:iCs/>
          <w:noProof/>
          <w:sz w:val="24"/>
          <w:szCs w:val="24"/>
          <w:lang w:val="sr-Cyrl-RS"/>
        </w:rPr>
        <w:t xml:space="preserve"> </w:t>
      </w:r>
      <w:r w:rsidR="00285E6A" w:rsidRPr="00230939">
        <w:rPr>
          <w:iCs/>
          <w:noProof/>
          <w:sz w:val="24"/>
          <w:szCs w:val="24"/>
          <w:lang w:val="sr-Cyrl-RS"/>
        </w:rPr>
        <w:t>У том смислу Комисија мења своју Одлуку од 23.04.2021. године  одобраваја средстава</w:t>
      </w:r>
      <w:r w:rsidR="006A4B46" w:rsidRPr="00230939">
        <w:rPr>
          <w:iCs/>
          <w:noProof/>
          <w:sz w:val="24"/>
          <w:szCs w:val="24"/>
          <w:lang w:val="sr-Cyrl-RS"/>
        </w:rPr>
        <w:t xml:space="preserve"> у скалду са поднетом пријавом: </w:t>
      </w:r>
      <w:r w:rsidR="00285E6A" w:rsidRPr="00230939">
        <w:rPr>
          <w:iCs/>
          <w:noProof/>
          <w:sz w:val="24"/>
          <w:szCs w:val="24"/>
          <w:lang w:val="sr-Cyrl-RS"/>
        </w:rPr>
        <w:t xml:space="preserve"> </w:t>
      </w:r>
    </w:p>
    <w:p w:rsidR="00285E6A" w:rsidRPr="00230939" w:rsidRDefault="00285E6A" w:rsidP="00285E6A">
      <w:pPr>
        <w:pStyle w:val="NoSpacing"/>
        <w:jc w:val="both"/>
        <w:rPr>
          <w:iCs/>
          <w:noProof/>
          <w:sz w:val="24"/>
          <w:szCs w:val="24"/>
          <w:lang w:val="sr-Cyrl-RS"/>
        </w:rPr>
      </w:pPr>
    </w:p>
    <w:tbl>
      <w:tblPr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5"/>
        <w:gridCol w:w="872"/>
        <w:gridCol w:w="1740"/>
        <w:gridCol w:w="1177"/>
        <w:gridCol w:w="567"/>
        <w:gridCol w:w="1418"/>
        <w:gridCol w:w="1417"/>
        <w:gridCol w:w="709"/>
        <w:gridCol w:w="1418"/>
        <w:gridCol w:w="708"/>
        <w:gridCol w:w="851"/>
        <w:gridCol w:w="2268"/>
      </w:tblGrid>
      <w:tr w:rsidR="00230939" w:rsidRPr="00230939" w:rsidTr="00285E6A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Прих. инвестиција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Одобрено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CS"/>
              </w:rPr>
              <w:t>% 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Сопст.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% 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285E6A" w:rsidRPr="00230939" w:rsidRDefault="00285E6A" w:rsidP="00285E6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285E6A" w:rsidRPr="00230939" w:rsidRDefault="00285E6A" w:rsidP="00285E6A">
            <w:pPr>
              <w:rPr>
                <w:sz w:val="16"/>
                <w:szCs w:val="16"/>
              </w:rPr>
            </w:pPr>
          </w:p>
        </w:tc>
      </w:tr>
      <w:tr w:rsidR="00230939" w:rsidRPr="00230939" w:rsidTr="00230939">
        <w:trPr>
          <w:trHeight w:val="5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3603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Никола Марић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Кисач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3.068.710,00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2.116.750,00</w:t>
            </w:r>
            <w:r w:rsidRPr="00230939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CS"/>
              </w:rPr>
              <w:t>68,98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E6A" w:rsidRPr="00230939" w:rsidRDefault="00285E6A" w:rsidP="00E519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951.960,00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E6A" w:rsidRPr="00230939" w:rsidRDefault="00285E6A" w:rsidP="00285E6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31,02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E6A" w:rsidRPr="00230939" w:rsidRDefault="00285E6A" w:rsidP="00E51936">
            <w:pPr>
              <w:rPr>
                <w:sz w:val="14"/>
                <w:szCs w:val="14"/>
              </w:rPr>
            </w:pPr>
            <w:proofErr w:type="spellStart"/>
            <w:r w:rsidRPr="00230939">
              <w:rPr>
                <w:sz w:val="14"/>
                <w:szCs w:val="14"/>
              </w:rPr>
              <w:t>Јабуке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E6A" w:rsidRPr="00230939" w:rsidRDefault="00285E6A" w:rsidP="00285E6A">
            <w:pPr>
              <w:rPr>
                <w:sz w:val="16"/>
                <w:szCs w:val="16"/>
              </w:rPr>
            </w:pPr>
            <w:r w:rsidRPr="00230939">
              <w:rPr>
                <w:sz w:val="16"/>
                <w:szCs w:val="16"/>
              </w:rPr>
              <w:t xml:space="preserve">1. </w:t>
            </w:r>
            <w:proofErr w:type="spellStart"/>
            <w:r w:rsidRPr="00230939">
              <w:rPr>
                <w:sz w:val="16"/>
                <w:szCs w:val="16"/>
              </w:rPr>
              <w:t>Набавка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елемената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система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за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противградну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заштиту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са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наслоном</w:t>
            </w:r>
            <w:proofErr w:type="spellEnd"/>
            <w:r w:rsidRPr="00230939">
              <w:rPr>
                <w:sz w:val="16"/>
                <w:szCs w:val="16"/>
              </w:rPr>
              <w:t xml:space="preserve"> 1.826.704,00 </w:t>
            </w:r>
            <w:proofErr w:type="spellStart"/>
            <w:r w:rsidRPr="00230939">
              <w:rPr>
                <w:sz w:val="16"/>
                <w:szCs w:val="16"/>
              </w:rPr>
              <w:t>динара</w:t>
            </w:r>
            <w:proofErr w:type="spellEnd"/>
          </w:p>
          <w:p w:rsidR="00285E6A" w:rsidRPr="00230939" w:rsidRDefault="00285E6A" w:rsidP="00285E6A">
            <w:pPr>
              <w:rPr>
                <w:sz w:val="16"/>
                <w:szCs w:val="16"/>
                <w:lang w:val="sr-Cyrl-RS"/>
              </w:rPr>
            </w:pPr>
            <w:r w:rsidRPr="00230939">
              <w:rPr>
                <w:sz w:val="16"/>
                <w:szCs w:val="16"/>
              </w:rPr>
              <w:tab/>
              <w:t xml:space="preserve">2. </w:t>
            </w:r>
            <w:proofErr w:type="spellStart"/>
            <w:r w:rsidRPr="00230939">
              <w:rPr>
                <w:sz w:val="16"/>
                <w:szCs w:val="16"/>
              </w:rPr>
              <w:t>Набавка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жица</w:t>
            </w:r>
            <w:proofErr w:type="spellEnd"/>
            <w:r w:rsidRPr="00230939">
              <w:rPr>
                <w:sz w:val="16"/>
                <w:szCs w:val="16"/>
              </w:rPr>
              <w:t xml:space="preserve"> и </w:t>
            </w:r>
            <w:proofErr w:type="spellStart"/>
            <w:r w:rsidRPr="00230939">
              <w:rPr>
                <w:sz w:val="16"/>
                <w:szCs w:val="16"/>
              </w:rPr>
              <w:t>стубова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за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ограђивање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парцела</w:t>
            </w:r>
            <w:proofErr w:type="spellEnd"/>
            <w:r w:rsidRPr="00230939">
              <w:rPr>
                <w:sz w:val="16"/>
                <w:szCs w:val="16"/>
              </w:rPr>
              <w:t xml:space="preserve"> 290.046,00 </w:t>
            </w:r>
            <w:proofErr w:type="spellStart"/>
            <w:r w:rsidRPr="00230939">
              <w:rPr>
                <w:sz w:val="16"/>
                <w:szCs w:val="16"/>
              </w:rPr>
              <w:t>динара</w:t>
            </w:r>
            <w:proofErr w:type="spellEnd"/>
          </w:p>
        </w:tc>
      </w:tr>
    </w:tbl>
    <w:p w:rsidR="00285E6A" w:rsidRDefault="00285E6A" w:rsidP="00285E6A">
      <w:pPr>
        <w:pStyle w:val="NoSpacing"/>
        <w:ind w:firstLine="708"/>
        <w:jc w:val="both"/>
        <w:rPr>
          <w:bCs/>
          <w:noProof/>
          <w:sz w:val="24"/>
          <w:szCs w:val="24"/>
          <w:lang w:val="sr-Cyrl-RS"/>
        </w:rPr>
      </w:pPr>
    </w:p>
    <w:p w:rsidR="0006516E" w:rsidRDefault="0006516E" w:rsidP="0006516E">
      <w:pPr>
        <w:spacing w:after="0" w:line="240" w:lineRule="auto"/>
        <w:ind w:firstLine="708"/>
        <w:rPr>
          <w:noProof/>
          <w:lang w:val="sr-Cyrl-RS"/>
        </w:rPr>
      </w:pPr>
    </w:p>
    <w:p w:rsidR="0006516E" w:rsidRDefault="0006516E" w:rsidP="0006516E">
      <w:pPr>
        <w:spacing w:after="0" w:line="240" w:lineRule="auto"/>
        <w:ind w:firstLine="708"/>
        <w:rPr>
          <w:noProof/>
          <w:lang w:val="sr-Cyrl-RS"/>
        </w:rPr>
      </w:pPr>
      <w:r>
        <w:rPr>
          <w:noProof/>
          <w:lang w:val="sr-Cyrl-RS"/>
        </w:rPr>
        <w:t>У</w:t>
      </w:r>
      <w:r w:rsidRPr="0006516E">
        <w:rPr>
          <w:noProof/>
          <w:lang w:val="sr-Cyrl-RS"/>
        </w:rPr>
        <w:t xml:space="preserve"> поступку контроле реализације уговора корисника Николе Милића из Српског Милетића констатовано</w:t>
      </w:r>
      <w:r>
        <w:rPr>
          <w:noProof/>
          <w:lang w:val="sr-Cyrl-RS"/>
        </w:rPr>
        <w:t xml:space="preserve"> је да на предметној парцели није постављен анти – фрост систем те је корисник изјавио да одустаје од предметне инвестиције. На основу свега наведеног корисник је одустао од дела инвестиције дефинисане основним уговором, те прихвата се део инвестиције у набавку жице и стубова за ограђивање. С тим у вези предложена је измена прихватљиве инвестиције и одобрених средстава на следећи начин:</w:t>
      </w:r>
    </w:p>
    <w:tbl>
      <w:tblPr>
        <w:tblW w:w="13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5"/>
        <w:gridCol w:w="872"/>
        <w:gridCol w:w="1740"/>
        <w:gridCol w:w="1177"/>
        <w:gridCol w:w="567"/>
        <w:gridCol w:w="1418"/>
        <w:gridCol w:w="1417"/>
        <w:gridCol w:w="709"/>
        <w:gridCol w:w="1418"/>
        <w:gridCol w:w="708"/>
        <w:gridCol w:w="851"/>
        <w:gridCol w:w="2268"/>
      </w:tblGrid>
      <w:tr w:rsidR="0006516E" w:rsidRPr="00230939" w:rsidTr="00FB4142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Редни број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230939">
              <w:rPr>
                <w:rFonts w:eastAsia="Times New Roman"/>
                <w:sz w:val="20"/>
                <w:szCs w:val="20"/>
                <w:lang w:val="sr-Latn-RS" w:eastAsia="sr-Latn-RS"/>
              </w:rPr>
              <w:t>Прих. инвестиција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Одобрено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CS"/>
              </w:rPr>
              <w:t>% 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Сопст.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06516E" w:rsidRPr="00230939" w:rsidRDefault="0006516E" w:rsidP="00FB414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 w:rsidRPr="00230939">
              <w:rPr>
                <w:rFonts w:eastAsia="Times New Roman"/>
                <w:b/>
                <w:sz w:val="20"/>
                <w:szCs w:val="20"/>
                <w:lang w:val="sr-Cyrl-RS"/>
              </w:rPr>
              <w:t>% 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06516E" w:rsidRPr="00230939" w:rsidRDefault="0006516E" w:rsidP="00FB414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  <w:hideMark/>
          </w:tcPr>
          <w:p w:rsidR="0006516E" w:rsidRPr="00230939" w:rsidRDefault="0006516E" w:rsidP="00FB4142">
            <w:pPr>
              <w:rPr>
                <w:sz w:val="16"/>
                <w:szCs w:val="16"/>
              </w:rPr>
            </w:pPr>
          </w:p>
        </w:tc>
      </w:tr>
      <w:tr w:rsidR="0006516E" w:rsidRPr="00230939" w:rsidTr="00FB4142">
        <w:trPr>
          <w:trHeight w:val="51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3568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230939" w:rsidRDefault="0074244D" w:rsidP="00FB4142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74244D">
              <w:rPr>
                <w:rFonts w:eastAsia="Times New Roman"/>
                <w:sz w:val="20"/>
                <w:szCs w:val="20"/>
                <w:lang w:val="sr-Latn-RS" w:eastAsia="sr-Latn-RS"/>
              </w:rPr>
              <w:t>Никола Милић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Српски Милетић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1.766.733,33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826.524,00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46,78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940.209,33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6E" w:rsidRPr="0074244D" w:rsidRDefault="0074244D" w:rsidP="00FB41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53,22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6E" w:rsidRPr="0074244D" w:rsidRDefault="0074244D" w:rsidP="00FB4142">
            <w:pPr>
              <w:rPr>
                <w:sz w:val="14"/>
                <w:szCs w:val="14"/>
                <w:lang w:val="sr-Cyrl-RS"/>
              </w:rPr>
            </w:pPr>
            <w:r>
              <w:rPr>
                <w:sz w:val="14"/>
                <w:szCs w:val="14"/>
                <w:lang w:val="sr-Cyrl-RS"/>
              </w:rPr>
              <w:t>Вишње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16E" w:rsidRPr="00230939" w:rsidRDefault="0006516E" w:rsidP="00FB4142">
            <w:pPr>
              <w:rPr>
                <w:sz w:val="16"/>
                <w:szCs w:val="16"/>
                <w:lang w:val="sr-Cyrl-RS"/>
              </w:rPr>
            </w:pPr>
            <w:proofErr w:type="spellStart"/>
            <w:r w:rsidRPr="00230939">
              <w:rPr>
                <w:sz w:val="16"/>
                <w:szCs w:val="16"/>
              </w:rPr>
              <w:t>Набавка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жица</w:t>
            </w:r>
            <w:proofErr w:type="spellEnd"/>
            <w:r w:rsidRPr="00230939">
              <w:rPr>
                <w:sz w:val="16"/>
                <w:szCs w:val="16"/>
              </w:rPr>
              <w:t xml:space="preserve"> и </w:t>
            </w:r>
            <w:proofErr w:type="spellStart"/>
            <w:r w:rsidRPr="00230939">
              <w:rPr>
                <w:sz w:val="16"/>
                <w:szCs w:val="16"/>
              </w:rPr>
              <w:t>стубова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за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ограђивање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парцела</w:t>
            </w:r>
            <w:proofErr w:type="spellEnd"/>
            <w:r w:rsidRPr="00230939">
              <w:rPr>
                <w:sz w:val="16"/>
                <w:szCs w:val="16"/>
              </w:rPr>
              <w:t xml:space="preserve"> </w:t>
            </w:r>
            <w:r w:rsidR="0074244D" w:rsidRPr="0074244D">
              <w:rPr>
                <w:sz w:val="16"/>
                <w:szCs w:val="16"/>
              </w:rPr>
              <w:t>826.524,00</w:t>
            </w:r>
            <w:r w:rsidR="0074244D"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30939">
              <w:rPr>
                <w:sz w:val="16"/>
                <w:szCs w:val="16"/>
              </w:rPr>
              <w:t>динара</w:t>
            </w:r>
            <w:proofErr w:type="spellEnd"/>
          </w:p>
        </w:tc>
      </w:tr>
    </w:tbl>
    <w:p w:rsidR="0006516E" w:rsidRDefault="0006516E" w:rsidP="0006516E">
      <w:pPr>
        <w:spacing w:after="0" w:line="240" w:lineRule="auto"/>
        <w:ind w:firstLine="708"/>
        <w:rPr>
          <w:noProof/>
          <w:lang w:val="sr-Cyrl-RS"/>
        </w:rPr>
      </w:pPr>
    </w:p>
    <w:p w:rsidR="00E31E54" w:rsidRDefault="0006516E" w:rsidP="0006516E">
      <w:pPr>
        <w:spacing w:after="0" w:line="240" w:lineRule="auto"/>
        <w:ind w:firstLine="708"/>
        <w:rPr>
          <w:noProof/>
          <w:lang w:val="sr-Cyrl-RS"/>
        </w:rPr>
      </w:pPr>
      <w:r>
        <w:rPr>
          <w:noProof/>
          <w:lang w:val="sr-Cyrl-RS"/>
        </w:rPr>
        <w:t xml:space="preserve">         </w:t>
      </w:r>
    </w:p>
    <w:p w:rsidR="0006516E" w:rsidRPr="00230939" w:rsidRDefault="0006516E" w:rsidP="0074244D">
      <w:pPr>
        <w:spacing w:after="0" w:line="240" w:lineRule="auto"/>
        <w:rPr>
          <w:noProof/>
          <w:lang w:val="sr-Cyrl-RS"/>
        </w:rPr>
        <w:sectPr w:rsidR="0006516E" w:rsidRPr="00230939" w:rsidSect="007E2841">
          <w:headerReference w:type="default" r:id="rId8"/>
          <w:headerReference w:type="first" r:id="rId9"/>
          <w:pgSz w:w="15840" w:h="12240" w:orient="landscape" w:code="1"/>
          <w:pgMar w:top="1327" w:right="1412" w:bottom="232" w:left="1412" w:header="720" w:footer="720" w:gutter="0"/>
          <w:cols w:space="720"/>
          <w:docGrid w:linePitch="360"/>
        </w:sectPr>
      </w:pPr>
      <w:bookmarkStart w:id="0" w:name="_GoBack"/>
      <w:bookmarkEnd w:id="0"/>
    </w:p>
    <w:p w:rsidR="00596CBF" w:rsidRPr="00230939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Pr="00230939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Pr="00230939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E31E54" w:rsidRPr="00230939" w:rsidRDefault="00E31E54" w:rsidP="00CF2FAD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230939">
        <w:rPr>
          <w:lang w:val="sr-Cyrl-CS"/>
        </w:rPr>
        <w:t xml:space="preserve">С обзиром да је предлог Комисије у складу са Правилником донетим 01.02.2021. године, објављеног у </w:t>
      </w:r>
      <w:r w:rsidRPr="00230939">
        <w:t>„</w:t>
      </w:r>
      <w:proofErr w:type="spellStart"/>
      <w:r w:rsidRPr="00230939">
        <w:t>Службен</w:t>
      </w:r>
      <w:proofErr w:type="spellEnd"/>
      <w:r w:rsidRPr="00230939">
        <w:rPr>
          <w:lang w:val="sr-Cyrl-RS"/>
        </w:rPr>
        <w:t>ом</w:t>
      </w:r>
      <w:r w:rsidRPr="00230939">
        <w:t xml:space="preserve"> </w:t>
      </w:r>
      <w:proofErr w:type="spellStart"/>
      <w:r w:rsidRPr="00230939">
        <w:t>лист</w:t>
      </w:r>
      <w:proofErr w:type="spellEnd"/>
      <w:r w:rsidRPr="00230939">
        <w:rPr>
          <w:lang w:val="sr-Cyrl-RS"/>
        </w:rPr>
        <w:t>у</w:t>
      </w:r>
      <w:r w:rsidRPr="00230939">
        <w:t xml:space="preserve"> АПВ“</w:t>
      </w:r>
      <w:r w:rsidRPr="00230939">
        <w:rPr>
          <w:lang w:val="sr-Cyrl-RS"/>
        </w:rPr>
        <w:t xml:space="preserve"> </w:t>
      </w:r>
      <w:proofErr w:type="spellStart"/>
      <w:r w:rsidRPr="00230939">
        <w:t>број</w:t>
      </w:r>
      <w:proofErr w:type="spellEnd"/>
      <w:r w:rsidRPr="00230939">
        <w:t xml:space="preserve"> </w:t>
      </w:r>
      <w:r w:rsidRPr="00230939">
        <w:rPr>
          <w:lang w:val="sr-Cyrl-RS"/>
        </w:rPr>
        <w:t>5/2021</w:t>
      </w:r>
      <w:r w:rsidRPr="00230939">
        <w:t xml:space="preserve"> </w:t>
      </w:r>
      <w:r w:rsidRPr="00230939">
        <w:rPr>
          <w:lang w:val="sr-Cyrl-CS"/>
        </w:rPr>
        <w:t xml:space="preserve"> и Конкурсом објављеним </w:t>
      </w:r>
      <w:r w:rsidRPr="00230939">
        <w:rPr>
          <w:lang w:val="sr-Cyrl-RS"/>
        </w:rPr>
        <w:t>у дневном листу „Дневник“</w:t>
      </w:r>
      <w:r w:rsidRPr="00230939">
        <w:t xml:space="preserve"> </w:t>
      </w:r>
      <w:proofErr w:type="spellStart"/>
      <w:r w:rsidRPr="00230939">
        <w:t>дана</w:t>
      </w:r>
      <w:proofErr w:type="spellEnd"/>
      <w:r w:rsidRPr="00230939">
        <w:t xml:space="preserve"> </w:t>
      </w:r>
      <w:r w:rsidRPr="00230939">
        <w:rPr>
          <w:lang w:val="sr-Cyrl-RS"/>
        </w:rPr>
        <w:t>01.02.2021.</w:t>
      </w:r>
      <w:r w:rsidRPr="00230939">
        <w:rPr>
          <w:lang w:val="sr-Cyrl-CS"/>
        </w:rPr>
        <w:t xml:space="preserve"> </w:t>
      </w:r>
      <w:proofErr w:type="spellStart"/>
      <w:r w:rsidRPr="00230939">
        <w:t>године</w:t>
      </w:r>
      <w:proofErr w:type="spellEnd"/>
      <w:r w:rsidRPr="00230939">
        <w:rPr>
          <w:lang w:val="sr-Cyrl-RS"/>
        </w:rPr>
        <w:t xml:space="preserve"> и </w:t>
      </w:r>
      <w:r w:rsidRPr="00230939">
        <w:t>„</w:t>
      </w:r>
      <w:proofErr w:type="spellStart"/>
      <w:r w:rsidRPr="00230939">
        <w:t>Службен</w:t>
      </w:r>
      <w:proofErr w:type="spellEnd"/>
      <w:r w:rsidRPr="00230939">
        <w:rPr>
          <w:lang w:val="sr-Cyrl-RS"/>
        </w:rPr>
        <w:t>ом</w:t>
      </w:r>
      <w:r w:rsidRPr="00230939">
        <w:t xml:space="preserve"> </w:t>
      </w:r>
      <w:proofErr w:type="spellStart"/>
      <w:r w:rsidRPr="00230939">
        <w:t>лист</w:t>
      </w:r>
      <w:proofErr w:type="spellEnd"/>
      <w:r w:rsidRPr="00230939">
        <w:rPr>
          <w:lang w:val="sr-Cyrl-RS"/>
        </w:rPr>
        <w:t>у</w:t>
      </w:r>
      <w:r w:rsidRPr="00230939">
        <w:t xml:space="preserve"> </w:t>
      </w:r>
      <w:proofErr w:type="gramStart"/>
      <w:r w:rsidRPr="00230939">
        <w:t>АПВ“</w:t>
      </w:r>
      <w:r w:rsidRPr="00230939">
        <w:rPr>
          <w:lang w:val="sr-Cyrl-RS"/>
        </w:rPr>
        <w:t xml:space="preserve"> </w:t>
      </w:r>
      <w:proofErr w:type="spellStart"/>
      <w:r w:rsidRPr="00230939">
        <w:t>број</w:t>
      </w:r>
      <w:proofErr w:type="spellEnd"/>
      <w:proofErr w:type="gramEnd"/>
      <w:r w:rsidRPr="00230939">
        <w:t xml:space="preserve"> </w:t>
      </w:r>
      <w:r w:rsidRPr="00230939">
        <w:rPr>
          <w:lang w:val="ru-RU"/>
        </w:rPr>
        <w:t>5/2</w:t>
      </w:r>
      <w:r w:rsidRPr="00230939">
        <w:t xml:space="preserve">021 </w:t>
      </w:r>
      <w:r w:rsidRPr="00230939">
        <w:rPr>
          <w:lang w:val="sr-Cyrl-RS"/>
        </w:rPr>
        <w:t>године</w:t>
      </w:r>
      <w:r w:rsidRPr="00230939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E31E54" w:rsidRPr="00230939" w:rsidRDefault="00E31E54" w:rsidP="00E31E54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E31E54" w:rsidRPr="00230939" w:rsidRDefault="00A83FCA" w:rsidP="00CF2FAD">
      <w:pPr>
        <w:jc w:val="both"/>
        <w:rPr>
          <w:b/>
          <w:sz w:val="20"/>
          <w:szCs w:val="20"/>
          <w:lang w:val="sr-Cyrl-CS"/>
        </w:rPr>
      </w:pPr>
      <w:r w:rsidRPr="00230939">
        <w:rPr>
          <w:noProof/>
          <w:lang w:val="sr-Cyrl-RS"/>
        </w:rPr>
        <w:t xml:space="preserve">Ову одлуку обајвити на сајту </w:t>
      </w:r>
      <w:r w:rsidRPr="00230939">
        <w:rPr>
          <w:lang w:val="ru-RU"/>
        </w:rPr>
        <w:t>Покрајинског секретаријат за пољопривреду, водопривреду и шумарство</w:t>
      </w:r>
      <w:r w:rsidR="00E31E54" w:rsidRPr="00230939">
        <w:rPr>
          <w:rFonts w:eastAsia="Times New Roman"/>
          <w:noProof/>
          <w:lang w:val="sr-Cyrl-RS"/>
        </w:rPr>
        <w:t xml:space="preserve">. </w:t>
      </w:r>
    </w:p>
    <w:p w:rsidR="00E31E54" w:rsidRPr="00230939" w:rsidRDefault="00E31E54" w:rsidP="00E31E54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035"/>
        <w:gridCol w:w="4287"/>
      </w:tblGrid>
      <w:tr w:rsidR="00230939" w:rsidRPr="00230939" w:rsidTr="00844711">
        <w:tc>
          <w:tcPr>
            <w:tcW w:w="4811" w:type="dxa"/>
            <w:shd w:val="clear" w:color="auto" w:fill="auto"/>
          </w:tcPr>
          <w:p w:rsidR="00E31E54" w:rsidRPr="00230939" w:rsidRDefault="00E31E54" w:rsidP="0084471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31E54" w:rsidRPr="00230939" w:rsidRDefault="00E31E54" w:rsidP="00844711">
            <w:pPr>
              <w:jc w:val="center"/>
              <w:rPr>
                <w:sz w:val="24"/>
                <w:szCs w:val="24"/>
                <w:lang w:val="sr-Cyrl-RS"/>
              </w:rPr>
            </w:pPr>
            <w:r w:rsidRPr="00230939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E31E54" w:rsidRPr="00230939" w:rsidTr="00844711">
        <w:tc>
          <w:tcPr>
            <w:tcW w:w="4811" w:type="dxa"/>
            <w:shd w:val="clear" w:color="auto" w:fill="auto"/>
          </w:tcPr>
          <w:p w:rsidR="00E31E54" w:rsidRPr="00230939" w:rsidRDefault="00E31E54" w:rsidP="0084471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31E54" w:rsidRPr="00230939" w:rsidRDefault="00E31E54" w:rsidP="00844711">
            <w:pPr>
              <w:jc w:val="center"/>
              <w:rPr>
                <w:sz w:val="24"/>
                <w:szCs w:val="24"/>
                <w:lang w:val="sr-Cyrl-RS"/>
              </w:rPr>
            </w:pPr>
            <w:r w:rsidRPr="00230939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Pr="00230939" w:rsidRDefault="00596CBF" w:rsidP="00596CBF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596CBF" w:rsidRPr="00230939" w:rsidRDefault="00596CBF" w:rsidP="005D6C76">
      <w:pPr>
        <w:spacing w:after="0" w:line="240" w:lineRule="auto"/>
        <w:rPr>
          <w:noProof/>
          <w:lang w:val="sr-Cyrl-RS"/>
        </w:rPr>
        <w:sectPr w:rsidR="00596CBF" w:rsidRPr="00230939" w:rsidSect="00E31E54">
          <w:pgSz w:w="12240" w:h="15840" w:code="1"/>
          <w:pgMar w:top="1418" w:right="1418" w:bottom="1418" w:left="1418" w:header="720" w:footer="720" w:gutter="0"/>
          <w:cols w:space="720"/>
          <w:docGrid w:linePitch="360"/>
        </w:sectPr>
      </w:pPr>
    </w:p>
    <w:p w:rsidR="00596CBF" w:rsidRDefault="00596CBF"/>
    <w:sectPr w:rsidR="00596CBF" w:rsidSect="00596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EC" w:rsidRDefault="00C159EC" w:rsidP="00596CBF">
      <w:pPr>
        <w:spacing w:after="0" w:line="240" w:lineRule="auto"/>
      </w:pPr>
      <w:r>
        <w:separator/>
      </w:r>
    </w:p>
  </w:endnote>
  <w:endnote w:type="continuationSeparator" w:id="0">
    <w:p w:rsidR="00C159EC" w:rsidRDefault="00C159EC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EC" w:rsidRDefault="00C159EC" w:rsidP="00596CBF">
      <w:pPr>
        <w:spacing w:after="0" w:line="240" w:lineRule="auto"/>
      </w:pPr>
      <w:r>
        <w:separator/>
      </w:r>
    </w:p>
  </w:footnote>
  <w:footnote w:type="continuationSeparator" w:id="0">
    <w:p w:rsidR="00C159EC" w:rsidRDefault="00C159EC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11" w:rsidRDefault="00844711">
    <w:pPr>
      <w:pStyle w:val="Header"/>
    </w:pPr>
  </w:p>
  <w:p w:rsidR="00844711" w:rsidRDefault="00844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11" w:rsidRPr="00EF35B0" w:rsidRDefault="00844711" w:rsidP="007E2841">
    <w:pPr>
      <w:pStyle w:val="Header"/>
    </w:pPr>
  </w:p>
  <w:p w:rsidR="00844711" w:rsidRDefault="00844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11" w:rsidRDefault="00844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474"/>
    <w:multiLevelType w:val="hybridMultilevel"/>
    <w:tmpl w:val="32B6ECD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1A63404"/>
    <w:multiLevelType w:val="hybridMultilevel"/>
    <w:tmpl w:val="B756109A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6A33"/>
    <w:multiLevelType w:val="hybridMultilevel"/>
    <w:tmpl w:val="F466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6516E"/>
    <w:rsid w:val="00067825"/>
    <w:rsid w:val="001770C5"/>
    <w:rsid w:val="001F22D1"/>
    <w:rsid w:val="00206BD5"/>
    <w:rsid w:val="0021090F"/>
    <w:rsid w:val="00230939"/>
    <w:rsid w:val="002755A4"/>
    <w:rsid w:val="00285E6A"/>
    <w:rsid w:val="003E30A5"/>
    <w:rsid w:val="00402FFD"/>
    <w:rsid w:val="00444A1F"/>
    <w:rsid w:val="00465809"/>
    <w:rsid w:val="00483654"/>
    <w:rsid w:val="004D2499"/>
    <w:rsid w:val="005748DD"/>
    <w:rsid w:val="00580A1C"/>
    <w:rsid w:val="00596CBF"/>
    <w:rsid w:val="005D6C76"/>
    <w:rsid w:val="006A4B46"/>
    <w:rsid w:val="006C3A48"/>
    <w:rsid w:val="0074244D"/>
    <w:rsid w:val="00757DB2"/>
    <w:rsid w:val="007D2A64"/>
    <w:rsid w:val="007E2841"/>
    <w:rsid w:val="007F0E0F"/>
    <w:rsid w:val="00844711"/>
    <w:rsid w:val="00846ED7"/>
    <w:rsid w:val="009314BB"/>
    <w:rsid w:val="00937476"/>
    <w:rsid w:val="009C783B"/>
    <w:rsid w:val="00A53633"/>
    <w:rsid w:val="00A82EBE"/>
    <w:rsid w:val="00A8374E"/>
    <w:rsid w:val="00A83FCA"/>
    <w:rsid w:val="00AB27FE"/>
    <w:rsid w:val="00AF3915"/>
    <w:rsid w:val="00B00E6C"/>
    <w:rsid w:val="00BC354C"/>
    <w:rsid w:val="00BE20A9"/>
    <w:rsid w:val="00C147A7"/>
    <w:rsid w:val="00C159EC"/>
    <w:rsid w:val="00C3465E"/>
    <w:rsid w:val="00C707BC"/>
    <w:rsid w:val="00CA01E8"/>
    <w:rsid w:val="00CF2FAD"/>
    <w:rsid w:val="00CF5A0F"/>
    <w:rsid w:val="00D01A7D"/>
    <w:rsid w:val="00D44DA7"/>
    <w:rsid w:val="00E31E54"/>
    <w:rsid w:val="00E57AB1"/>
    <w:rsid w:val="00E6736B"/>
    <w:rsid w:val="00E85C9B"/>
    <w:rsid w:val="00EA08A5"/>
    <w:rsid w:val="00ED4ECA"/>
    <w:rsid w:val="00EF62C1"/>
    <w:rsid w:val="00F21D36"/>
    <w:rsid w:val="00FD5465"/>
    <w:rsid w:val="00FE0D9B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BC94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0F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6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Petar Samolovac</cp:lastModifiedBy>
  <cp:revision>2</cp:revision>
  <cp:lastPrinted>2021-12-23T13:25:00Z</cp:lastPrinted>
  <dcterms:created xsi:type="dcterms:W3CDTF">2021-12-23T13:32:00Z</dcterms:created>
  <dcterms:modified xsi:type="dcterms:W3CDTF">2021-12-23T13:32:00Z</dcterms:modified>
</cp:coreProperties>
</file>